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EC19" w14:textId="77777777" w:rsidR="0021273B" w:rsidRDefault="0021273B">
      <w:pPr>
        <w:rPr>
          <w:kern w:val="0"/>
          <w14:ligatures w14:val="none"/>
        </w:rPr>
      </w:pPr>
      <w:r>
        <w:rPr>
          <w:b/>
          <w:bCs/>
        </w:rPr>
        <w:t>Q1.</w:t>
      </w:r>
      <w:r>
        <w:t xml:space="preserve"> Are there other approaches to organizational boundary setting that CARB should consider?</w:t>
      </w:r>
    </w:p>
    <w:p w14:paraId="50916297" w14:textId="36613FA4" w:rsidR="0021273B" w:rsidRDefault="0021273B">
      <w:pPr>
        <w:rPr>
          <w:kern w:val="0"/>
          <w14:ligatures w14:val="none"/>
        </w:rPr>
      </w:pPr>
      <w:r>
        <w:rPr>
          <w:b/>
          <w:bCs/>
        </w:rPr>
        <w:t>A1.</w:t>
      </w:r>
      <w:r>
        <w:t xml:space="preserve"> CARB </w:t>
      </w:r>
      <w:r w:rsidR="006B34AE">
        <w:t>should consider</w:t>
      </w:r>
      <w:r>
        <w:t xml:space="preserve"> align</w:t>
      </w:r>
      <w:r w:rsidR="006B34AE">
        <w:t>ing</w:t>
      </w:r>
      <w:r>
        <w:t xml:space="preserve"> organizational boundary-setting options with the GHG Protocol Corporate Standard, which is widely used for corporate GHG inventories. The GHG Protocol recognizes multiple approaches (including equity share and control approaches such as operational or financial control), which can provide appropriate flexibility for entities to select an approach consistent with their governance structure and existing reporting practices. </w:t>
      </w:r>
      <w:r w:rsidRPr="006B34AE">
        <w:rPr>
          <w:i/>
          <w:iCs/>
          <w:sz w:val="20"/>
          <w:szCs w:val="20"/>
        </w:rPr>
        <w:t>[Reference</w:t>
      </w:r>
      <w:r w:rsidR="006B34AE" w:rsidRPr="006B34AE">
        <w:rPr>
          <w:i/>
          <w:iCs/>
          <w:sz w:val="20"/>
          <w:szCs w:val="20"/>
        </w:rPr>
        <w:t xml:space="preserve">: </w:t>
      </w:r>
      <w:r w:rsidRPr="006B34AE">
        <w:rPr>
          <w:i/>
          <w:iCs/>
          <w:sz w:val="20"/>
          <w:szCs w:val="20"/>
        </w:rPr>
        <w:t>GHG Protocol Corporate Accounting and Reporting Standard—organizational boundaries section.]</w:t>
      </w:r>
    </w:p>
    <w:p w14:paraId="7BE4B674" w14:textId="77777777" w:rsidR="0021273B" w:rsidRDefault="0021273B">
      <w:pPr>
        <w:rPr>
          <w:kern w:val="0"/>
          <w14:ligatures w14:val="none"/>
        </w:rPr>
      </w:pPr>
      <w:r>
        <w:rPr>
          <w:b/>
          <w:bCs/>
        </w:rPr>
        <w:t>Q2.</w:t>
      </w:r>
      <w:r>
        <w:t xml:space="preserve"> How should entities explain their choice of organizational boundary?</w:t>
      </w:r>
    </w:p>
    <w:p w14:paraId="03A3BD3F" w14:textId="43AFAAA8" w:rsidR="0021273B" w:rsidRDefault="0021273B">
      <w:pPr>
        <w:rPr>
          <w:kern w:val="0"/>
          <w14:ligatures w14:val="none"/>
        </w:rPr>
      </w:pPr>
      <w:r>
        <w:rPr>
          <w:b/>
          <w:bCs/>
        </w:rPr>
        <w:t>A2.</w:t>
      </w:r>
      <w:r>
        <w:t xml:space="preserve"> Entities could briefly describe (1) the boundary approach selected (e.g., equity share, operational control, or financial control), (2) the rationale for the selection, (3) any material exclusions or special cases (e.g., joint ventures), and (4) whether the approach is consistent with prior-year reporting. Aligning these disclosures with the </w:t>
      </w:r>
      <w:r w:rsidR="00E902BE">
        <w:t xml:space="preserve">requirements from </w:t>
      </w:r>
      <w:r>
        <w:t xml:space="preserve">GHG Protocol </w:t>
      </w:r>
      <w:r w:rsidR="00E902BE">
        <w:t xml:space="preserve">for organizational boundary descriptions </w:t>
      </w:r>
      <w:r>
        <w:t xml:space="preserve">can promote consistency and comparability. </w:t>
      </w:r>
      <w:r w:rsidRPr="00E902BE">
        <w:rPr>
          <w:i/>
          <w:iCs/>
          <w:sz w:val="20"/>
          <w:szCs w:val="20"/>
        </w:rPr>
        <w:t>[Reference: GHG Protocol Corporate Standard—organizational boundaries and base-year/consistency principles.]</w:t>
      </w:r>
    </w:p>
    <w:p w14:paraId="45BFECAF" w14:textId="77777777" w:rsidR="0021273B" w:rsidRDefault="0021273B">
      <w:pPr>
        <w:rPr>
          <w:kern w:val="0"/>
          <w14:ligatures w14:val="none"/>
        </w:rPr>
      </w:pPr>
      <w:r>
        <w:rPr>
          <w:b/>
          <w:bCs/>
        </w:rPr>
        <w:t>Q3.</w:t>
      </w:r>
      <w:r>
        <w:t xml:space="preserve"> What additional information for Scope 1 and 2 reporting should CARB consider in developing final reporting templates?</w:t>
      </w:r>
    </w:p>
    <w:p w14:paraId="635AF193" w14:textId="44F3C051" w:rsidR="0021273B" w:rsidRDefault="240B9F9C" w:rsidP="00C648A8">
      <w:pPr>
        <w:spacing w:after="0"/>
      </w:pPr>
      <w:r w:rsidRPr="7E6BCBFD">
        <w:rPr>
          <w:b/>
          <w:bCs/>
        </w:rPr>
        <w:t>A3.</w:t>
      </w:r>
      <w:r>
        <w:t xml:space="preserve"> CARB </w:t>
      </w:r>
      <w:r w:rsidR="12271145">
        <w:t xml:space="preserve">should retain voluntary reporting options for portions </w:t>
      </w:r>
      <w:r>
        <w:t xml:space="preserve">of the Scope 1 and Scope 2 templates, recognizing that many entities already disclose Scope 1 and 2 emissions through GHG Protocol–aligned </w:t>
      </w:r>
      <w:r w:rsidR="7783E2EE">
        <w:t xml:space="preserve">frameworks </w:t>
      </w:r>
      <w:r>
        <w:t xml:space="preserve">and other </w:t>
      </w:r>
      <w:r w:rsidR="4985D872">
        <w:t>well-</w:t>
      </w:r>
      <w:r>
        <w:t xml:space="preserve">established programs. Allowing an entity to submit an existing, publicly available GHG inventory report (where it meets specified minimum content requirements) </w:t>
      </w:r>
      <w:r w:rsidR="5E94C432">
        <w:t xml:space="preserve">would </w:t>
      </w:r>
      <w:r>
        <w:t>reduce duplicative effort.</w:t>
      </w:r>
    </w:p>
    <w:p w14:paraId="2FA2C890" w14:textId="2531DB72" w:rsidR="0021273B" w:rsidRPr="00C648A8" w:rsidRDefault="0021273B" w:rsidP="00C648A8">
      <w:pPr>
        <w:numPr>
          <w:ilvl w:val="1"/>
          <w:numId w:val="5"/>
        </w:numPr>
        <w:spacing w:after="0" w:line="240" w:lineRule="auto"/>
        <w:ind w:left="648"/>
        <w:rPr>
          <w:rFonts w:ascii="Aptos" w:eastAsia="Times New Roman" w:hAnsi="Aptos"/>
          <w:kern w:val="0"/>
          <w:sz w:val="22"/>
          <w:szCs w:val="22"/>
          <w14:ligatures w14:val="none"/>
        </w:rPr>
      </w:pPr>
      <w:r w:rsidRPr="00C648A8">
        <w:rPr>
          <w:rFonts w:ascii="Aptos" w:eastAsia="Times New Roman" w:hAnsi="Aptos"/>
          <w:b/>
          <w:bCs/>
          <w:sz w:val="22"/>
          <w:szCs w:val="22"/>
        </w:rPr>
        <w:t>Template alignment:</w:t>
      </w:r>
      <w:r w:rsidRPr="00C648A8">
        <w:rPr>
          <w:rFonts w:ascii="Aptos" w:eastAsia="Times New Roman" w:hAnsi="Aptos"/>
          <w:sz w:val="22"/>
          <w:szCs w:val="22"/>
        </w:rPr>
        <w:t xml:space="preserve"> Consider aligning data fields to established guidance (e.g., Scope 1/2 definitions, calculation approaches, and disclosure expectations) to improve usability and comparability. </w:t>
      </w:r>
      <w:r w:rsidRPr="00C648A8">
        <w:rPr>
          <w:rFonts w:ascii="Aptos" w:eastAsia="Times New Roman" w:hAnsi="Aptos"/>
          <w:i/>
          <w:iCs/>
          <w:sz w:val="22"/>
          <w:szCs w:val="22"/>
        </w:rPr>
        <w:t>[Reference</w:t>
      </w:r>
      <w:r w:rsidR="001F2896">
        <w:rPr>
          <w:rFonts w:ascii="Aptos" w:eastAsia="Times New Roman" w:hAnsi="Aptos"/>
          <w:i/>
          <w:iCs/>
          <w:sz w:val="22"/>
          <w:szCs w:val="22"/>
        </w:rPr>
        <w:t>s</w:t>
      </w:r>
      <w:r w:rsidRPr="00C648A8">
        <w:rPr>
          <w:rFonts w:ascii="Aptos" w:eastAsia="Times New Roman" w:hAnsi="Aptos"/>
          <w:i/>
          <w:iCs/>
          <w:sz w:val="22"/>
          <w:szCs w:val="22"/>
        </w:rPr>
        <w:t>: GHG Protocol Corporate Standard; Scope 2 Guidance.]</w:t>
      </w:r>
    </w:p>
    <w:p w14:paraId="62819E94" w14:textId="77777777" w:rsidR="0021273B" w:rsidRPr="00C648A8" w:rsidRDefault="0021273B" w:rsidP="00C648A8">
      <w:pPr>
        <w:numPr>
          <w:ilvl w:val="1"/>
          <w:numId w:val="5"/>
        </w:numPr>
        <w:spacing w:before="100" w:beforeAutospacing="1" w:after="100" w:afterAutospacing="1" w:line="240" w:lineRule="auto"/>
        <w:ind w:left="648"/>
        <w:rPr>
          <w:rFonts w:ascii="Aptos" w:eastAsia="Times New Roman" w:hAnsi="Aptos"/>
          <w:kern w:val="0"/>
          <w:sz w:val="22"/>
          <w:szCs w:val="22"/>
          <w14:ligatures w14:val="none"/>
        </w:rPr>
      </w:pPr>
      <w:r w:rsidRPr="00C648A8">
        <w:rPr>
          <w:rFonts w:ascii="Aptos" w:eastAsia="Times New Roman" w:hAnsi="Aptos"/>
          <w:b/>
          <w:bCs/>
          <w:sz w:val="22"/>
          <w:szCs w:val="22"/>
        </w:rPr>
        <w:t>Level of detail:</w:t>
      </w:r>
      <w:r w:rsidRPr="00C648A8">
        <w:rPr>
          <w:rFonts w:ascii="Aptos" w:eastAsia="Times New Roman" w:hAnsi="Aptos"/>
          <w:sz w:val="22"/>
          <w:szCs w:val="22"/>
        </w:rPr>
        <w:t xml:space="preserve"> Consider limiting highly granular breakdowns (e.g., detailed Scope 1 source disaggregation) where they may not materially improve decision-usefulness, while still enabling transparent reporting.</w:t>
      </w:r>
    </w:p>
    <w:p w14:paraId="4BCC5F78" w14:textId="3D2F2788" w:rsidR="0021273B" w:rsidRPr="00C648A8" w:rsidRDefault="0021273B" w:rsidP="00C648A8">
      <w:pPr>
        <w:numPr>
          <w:ilvl w:val="1"/>
          <w:numId w:val="5"/>
        </w:numPr>
        <w:spacing w:before="100" w:beforeAutospacing="1" w:after="100" w:afterAutospacing="1" w:line="240" w:lineRule="auto"/>
        <w:ind w:left="648"/>
        <w:rPr>
          <w:rFonts w:ascii="Aptos" w:eastAsia="Times New Roman" w:hAnsi="Aptos"/>
          <w:kern w:val="0"/>
          <w:sz w:val="22"/>
          <w:szCs w:val="22"/>
          <w14:ligatures w14:val="none"/>
        </w:rPr>
      </w:pPr>
      <w:r w:rsidRPr="00C648A8">
        <w:rPr>
          <w:rFonts w:ascii="Aptos" w:eastAsia="Times New Roman" w:hAnsi="Aptos"/>
          <w:b/>
          <w:bCs/>
          <w:sz w:val="22"/>
          <w:szCs w:val="22"/>
        </w:rPr>
        <w:t>Biogenic CO</w:t>
      </w:r>
      <w:r w:rsidRPr="00C648A8">
        <w:rPr>
          <w:rFonts w:ascii="Aptos" w:eastAsia="Times New Roman" w:hAnsi="Aptos"/>
          <w:b/>
          <w:bCs/>
          <w:sz w:val="22"/>
          <w:szCs w:val="22"/>
          <w:vertAlign w:val="subscript"/>
        </w:rPr>
        <w:t>2</w:t>
      </w:r>
      <w:r w:rsidRPr="00C648A8">
        <w:rPr>
          <w:rFonts w:ascii="Aptos" w:eastAsia="Times New Roman" w:hAnsi="Aptos"/>
          <w:b/>
          <w:bCs/>
          <w:sz w:val="22"/>
          <w:szCs w:val="22"/>
        </w:rPr>
        <w:t>:</w:t>
      </w:r>
      <w:r w:rsidRPr="00C648A8">
        <w:rPr>
          <w:rFonts w:ascii="Aptos" w:eastAsia="Times New Roman" w:hAnsi="Aptos"/>
          <w:sz w:val="22"/>
          <w:szCs w:val="22"/>
        </w:rPr>
        <w:t xml:space="preserve"> If biogenic emissions are requested, consider clearly distinguishing them from Scope 1 totals and aligning the disclosure approach with existing standards. </w:t>
      </w:r>
      <w:r w:rsidRPr="00C648A8">
        <w:rPr>
          <w:rFonts w:ascii="Aptos" w:eastAsia="Times New Roman" w:hAnsi="Aptos"/>
          <w:i/>
          <w:iCs/>
          <w:sz w:val="22"/>
          <w:szCs w:val="22"/>
        </w:rPr>
        <w:t>[Reference: GHG Protocol Corporate Standard and relevant guidance on biogenic CO</w:t>
      </w:r>
      <w:r w:rsidRPr="00C648A8">
        <w:rPr>
          <w:rFonts w:ascii="Aptos" w:eastAsia="Times New Roman" w:hAnsi="Aptos"/>
          <w:i/>
          <w:iCs/>
          <w:sz w:val="22"/>
          <w:szCs w:val="22"/>
          <w:vertAlign w:val="subscript"/>
        </w:rPr>
        <w:t>2</w:t>
      </w:r>
      <w:r w:rsidRPr="00C648A8">
        <w:rPr>
          <w:rFonts w:ascii="Aptos" w:eastAsia="Times New Roman" w:hAnsi="Aptos"/>
          <w:i/>
          <w:iCs/>
          <w:sz w:val="22"/>
          <w:szCs w:val="22"/>
        </w:rPr>
        <w:t xml:space="preserve"> reporting.]</w:t>
      </w:r>
    </w:p>
    <w:p w14:paraId="5A7A05CB" w14:textId="77777777" w:rsidR="0021273B" w:rsidRPr="00C648A8" w:rsidRDefault="0021273B" w:rsidP="00C648A8">
      <w:pPr>
        <w:numPr>
          <w:ilvl w:val="1"/>
          <w:numId w:val="5"/>
        </w:numPr>
        <w:spacing w:before="100" w:beforeAutospacing="1" w:after="100" w:afterAutospacing="1" w:line="240" w:lineRule="auto"/>
        <w:ind w:left="648"/>
        <w:rPr>
          <w:rFonts w:ascii="Aptos" w:eastAsia="Times New Roman" w:hAnsi="Aptos"/>
          <w:kern w:val="0"/>
          <w:sz w:val="22"/>
          <w:szCs w:val="22"/>
          <w14:ligatures w14:val="none"/>
        </w:rPr>
      </w:pPr>
      <w:r w:rsidRPr="00C648A8">
        <w:rPr>
          <w:rFonts w:ascii="Aptos" w:eastAsia="Times New Roman" w:hAnsi="Aptos"/>
          <w:b/>
          <w:bCs/>
          <w:sz w:val="22"/>
          <w:szCs w:val="22"/>
        </w:rPr>
        <w:t>Emission factors:</w:t>
      </w:r>
      <w:r w:rsidRPr="00C648A8">
        <w:rPr>
          <w:rFonts w:ascii="Aptos" w:eastAsia="Times New Roman" w:hAnsi="Aptos"/>
          <w:sz w:val="22"/>
          <w:szCs w:val="22"/>
        </w:rPr>
        <w:t xml:space="preserve"> Provide flexibility for reporters to document emission factors (including cases where multiple factors are used) and allow explanatory free text, while maintaining auditability.</w:t>
      </w:r>
    </w:p>
    <w:p w14:paraId="3EF8C3F8" w14:textId="77777777" w:rsidR="0021273B" w:rsidRPr="00C648A8" w:rsidRDefault="0021273B" w:rsidP="00C648A8">
      <w:pPr>
        <w:numPr>
          <w:ilvl w:val="1"/>
          <w:numId w:val="5"/>
        </w:numPr>
        <w:spacing w:before="100" w:beforeAutospacing="1" w:after="100" w:afterAutospacing="1" w:line="240" w:lineRule="auto"/>
        <w:ind w:left="648"/>
        <w:rPr>
          <w:rFonts w:ascii="Aptos" w:eastAsia="Times New Roman" w:hAnsi="Aptos"/>
          <w:kern w:val="0"/>
          <w:sz w:val="22"/>
          <w:szCs w:val="22"/>
          <w14:ligatures w14:val="none"/>
        </w:rPr>
      </w:pPr>
      <w:r w:rsidRPr="00C648A8">
        <w:rPr>
          <w:rFonts w:ascii="Aptos" w:eastAsia="Times New Roman" w:hAnsi="Aptos"/>
          <w:b/>
          <w:bCs/>
          <w:sz w:val="22"/>
          <w:szCs w:val="22"/>
        </w:rPr>
        <w:lastRenderedPageBreak/>
        <w:t>Optional fields:</w:t>
      </w:r>
      <w:r w:rsidRPr="00C648A8">
        <w:rPr>
          <w:rFonts w:ascii="Aptos" w:eastAsia="Times New Roman" w:hAnsi="Aptos"/>
          <w:sz w:val="22"/>
          <w:szCs w:val="22"/>
        </w:rPr>
        <w:t xml:space="preserve"> Consider limiting optional elements to those that are likely to be widely applicable, to keep the template focused and practical.</w:t>
      </w:r>
    </w:p>
    <w:p w14:paraId="0165D8D2" w14:textId="77777777" w:rsidR="0021273B" w:rsidRDefault="0021273B">
      <w:pPr>
        <w:rPr>
          <w:kern w:val="0"/>
          <w14:ligatures w14:val="none"/>
        </w:rPr>
      </w:pPr>
      <w:r>
        <w:rPr>
          <w:b/>
          <w:bCs/>
        </w:rPr>
        <w:t>Q4.</w:t>
      </w:r>
      <w:r>
        <w:t xml:space="preserve"> What accounting methods does your organization currently use for Scope 1, 2, and 3 GHG emissions?</w:t>
      </w:r>
    </w:p>
    <w:p w14:paraId="104618ED" w14:textId="02407055" w:rsidR="0021273B" w:rsidRDefault="240B9F9C">
      <w:r w:rsidRPr="0E2679F5">
        <w:rPr>
          <w:b/>
          <w:bCs/>
        </w:rPr>
        <w:t>A4.</w:t>
      </w:r>
      <w:r>
        <w:t xml:space="preserve"> </w:t>
      </w:r>
      <w:r w:rsidR="00F77041" w:rsidRPr="00F77041">
        <w:t>Dow uses the GHG Protocol Corporate Standard for reporting Scope</w:t>
      </w:r>
      <w:r w:rsidR="00F77041">
        <w:t>s</w:t>
      </w:r>
      <w:r w:rsidR="00F77041" w:rsidRPr="00F77041">
        <w:t xml:space="preserve"> 1,</w:t>
      </w:r>
      <w:r w:rsidR="00F77041">
        <w:t xml:space="preserve"> </w:t>
      </w:r>
      <w:r w:rsidR="00F77041" w:rsidRPr="00F77041">
        <w:t>2</w:t>
      </w:r>
      <w:r w:rsidR="006D306E">
        <w:t xml:space="preserve"> and 3</w:t>
      </w:r>
      <w:r w:rsidR="00F77041" w:rsidRPr="00F77041">
        <w:t xml:space="preserve"> and references the Scope 2 </w:t>
      </w:r>
      <w:r w:rsidR="00322853">
        <w:t>G</w:t>
      </w:r>
      <w:r w:rsidR="00F77041" w:rsidRPr="00F77041">
        <w:t xml:space="preserve">uidance and Scope 3 </w:t>
      </w:r>
      <w:r w:rsidR="00322853">
        <w:t>S</w:t>
      </w:r>
      <w:r w:rsidR="00F77041" w:rsidRPr="00F77041">
        <w:t>tandard where necessary</w:t>
      </w:r>
      <w:r w:rsidR="00592CFA">
        <w:t>.</w:t>
      </w:r>
      <w:r w:rsidR="006D306E">
        <w:t xml:space="preserve"> </w:t>
      </w:r>
      <w:r>
        <w:t xml:space="preserve">Dow </w:t>
      </w:r>
      <w:r w:rsidR="00592CFA">
        <w:t xml:space="preserve">also </w:t>
      </w:r>
      <w:r>
        <w:t xml:space="preserve">applies relevant regulatory reporting frameworks, as applicable. </w:t>
      </w:r>
      <w:r w:rsidR="00D16B03">
        <w:t xml:space="preserve">Dow’s corporate GHG reporting includes direct emissions (Scope 1), purchased energy emissions (Scope 2), and value chain emissions (Scope 3). For Scope 2, Dow reports using both the location-based and market-based methods. </w:t>
      </w:r>
      <w:r w:rsidR="007B3732">
        <w:t xml:space="preserve">Dow also uses sectoral methods when applicable, such as </w:t>
      </w:r>
      <w:r w:rsidR="007B3732" w:rsidRPr="007B3732">
        <w:t>the Global Logistics Emissions Council for freight transportation and the Together for Sustainability Guideline for chemicals</w:t>
      </w:r>
      <w:r w:rsidR="007B3732">
        <w:t xml:space="preserve">. </w:t>
      </w:r>
      <w:r>
        <w:t>Dow uses an operational control approach for organizational boundaries. Dow also conducts product-level carbon footprinting. For regulatory reporting, Dow uses the applicable program methodology (e.g., U.S. EPA reporting requirements</w:t>
      </w:r>
      <w:r w:rsidRPr="0E2679F5">
        <w:rPr>
          <w:sz w:val="20"/>
          <w:szCs w:val="20"/>
        </w:rPr>
        <w:t xml:space="preserve">). </w:t>
      </w:r>
      <w:r w:rsidRPr="0E2679F5">
        <w:rPr>
          <w:i/>
          <w:iCs/>
          <w:sz w:val="20"/>
          <w:szCs w:val="20"/>
        </w:rPr>
        <w:t>[References: GHG Protocol Corporate Standard; GHG Protocol Scope 2 Guidance; GHG Protocol Corporate Value Chain (Scope 3) Standard; relevant U.S. EPA program guidance as applicable.]</w:t>
      </w:r>
    </w:p>
    <w:p w14:paraId="03090DB8" w14:textId="77777777" w:rsidR="0021273B" w:rsidRDefault="0021273B">
      <w:pPr>
        <w:rPr>
          <w:kern w:val="0"/>
          <w14:ligatures w14:val="none"/>
        </w:rPr>
      </w:pPr>
      <w:r>
        <w:rPr>
          <w:b/>
          <w:bCs/>
        </w:rPr>
        <w:t>Q5.</w:t>
      </w:r>
      <w:r>
        <w:t xml:space="preserve"> Should CARB consider allowing other accounting methods? If so, which ones and why?</w:t>
      </w:r>
    </w:p>
    <w:p w14:paraId="7F2EEEF2" w14:textId="7B241DA8" w:rsidR="0021273B" w:rsidRDefault="0021273B">
      <w:pPr>
        <w:rPr>
          <w:kern w:val="0"/>
          <w14:ligatures w14:val="none"/>
        </w:rPr>
      </w:pPr>
      <w:r>
        <w:rPr>
          <w:b/>
          <w:bCs/>
        </w:rPr>
        <w:t>A5.</w:t>
      </w:r>
      <w:r>
        <w:t xml:space="preserve"> Dow supports an approach that encourages alignment with the GHG Protocol, while recognizing that some entities may currently use other established accounting frameworks. CARB could consider identifying the GHG Protocol as a preferred baseline for consistency and comparability, while allowing alternative methods where an entity can demonstrate that the approach is (1) based on a recognized standard, (2) transparently documented, and (3) provides results that are comparable in scope and rigor. </w:t>
      </w:r>
      <w:r w:rsidRPr="00E24DC6">
        <w:rPr>
          <w:i/>
          <w:iCs/>
          <w:sz w:val="20"/>
          <w:szCs w:val="20"/>
        </w:rPr>
        <w:t xml:space="preserve">[Reference: GHG Protocol Corporate Standard </w:t>
      </w:r>
      <w:proofErr w:type="gramStart"/>
      <w:r w:rsidRPr="00E24DC6">
        <w:rPr>
          <w:i/>
          <w:iCs/>
          <w:sz w:val="20"/>
          <w:szCs w:val="20"/>
        </w:rPr>
        <w:t>principles</w:t>
      </w:r>
      <w:proofErr w:type="gramEnd"/>
      <w:r w:rsidR="009579E5" w:rsidRPr="00E24DC6">
        <w:rPr>
          <w:i/>
          <w:iCs/>
          <w:sz w:val="20"/>
          <w:szCs w:val="20"/>
        </w:rPr>
        <w:t>]</w:t>
      </w:r>
    </w:p>
    <w:p w14:paraId="08308B16" w14:textId="77777777" w:rsidR="0021273B" w:rsidRDefault="0021273B">
      <w:pPr>
        <w:rPr>
          <w:kern w:val="0"/>
          <w14:ligatures w14:val="none"/>
        </w:rPr>
      </w:pPr>
      <w:r>
        <w:rPr>
          <w:b/>
          <w:bCs/>
        </w:rPr>
        <w:t>Q6.</w:t>
      </w:r>
      <w:r>
        <w:t xml:space="preserve"> What criteria should emission factors meet to be used in this program?</w:t>
      </w:r>
    </w:p>
    <w:p w14:paraId="5780F2D4" w14:textId="5285FF2F" w:rsidR="0021273B" w:rsidRDefault="240B9F9C" w:rsidP="009579E5">
      <w:pPr>
        <w:spacing w:after="0"/>
      </w:pPr>
      <w:r w:rsidRPr="7E6BCBFD">
        <w:rPr>
          <w:b/>
          <w:bCs/>
        </w:rPr>
        <w:t>A6.</w:t>
      </w:r>
      <w:r>
        <w:t xml:space="preserve"> High-quality emission factors (EFs) should meet consistent methodological, data, and governance criteria to support credible reporting, assurance, and regulatory use. CARB could consider criteria such as:</w:t>
      </w:r>
    </w:p>
    <w:p w14:paraId="08B6F0E8" w14:textId="77777777" w:rsidR="0021273B" w:rsidRPr="009579E5" w:rsidRDefault="0021273B" w:rsidP="009579E5">
      <w:pPr>
        <w:numPr>
          <w:ilvl w:val="1"/>
          <w:numId w:val="8"/>
        </w:numPr>
        <w:spacing w:after="0" w:line="240" w:lineRule="auto"/>
        <w:ind w:left="648"/>
        <w:rPr>
          <w:rFonts w:ascii="Aptos" w:eastAsia="Times New Roman" w:hAnsi="Aptos"/>
          <w:kern w:val="0"/>
          <w14:ligatures w14:val="none"/>
        </w:rPr>
      </w:pPr>
      <w:r w:rsidRPr="009579E5">
        <w:rPr>
          <w:rFonts w:ascii="Aptos" w:eastAsia="Times New Roman" w:hAnsi="Aptos"/>
          <w:b/>
          <w:bCs/>
        </w:rPr>
        <w:t>Methodological alignment:</w:t>
      </w:r>
      <w:r w:rsidRPr="009579E5">
        <w:rPr>
          <w:rFonts w:ascii="Aptos" w:eastAsia="Times New Roman" w:hAnsi="Aptos"/>
        </w:rPr>
        <w:t xml:space="preserve"> Based on recognized standards or methodologies and consistent with inventory accounting rules (including defined scope, boundaries, and gases covered).</w:t>
      </w:r>
    </w:p>
    <w:p w14:paraId="6D44A163" w14:textId="77777777" w:rsidR="0021273B" w:rsidRPr="009579E5" w:rsidRDefault="0021273B" w:rsidP="009579E5">
      <w:pPr>
        <w:numPr>
          <w:ilvl w:val="0"/>
          <w:numId w:val="20"/>
        </w:numPr>
        <w:spacing w:after="0" w:line="240" w:lineRule="auto"/>
        <w:ind w:left="648"/>
        <w:rPr>
          <w:rFonts w:ascii="Aptos" w:eastAsia="Times New Roman" w:hAnsi="Aptos"/>
        </w:rPr>
      </w:pPr>
      <w:r w:rsidRPr="009579E5">
        <w:rPr>
          <w:rFonts w:ascii="Aptos" w:eastAsia="Times New Roman" w:hAnsi="Aptos"/>
          <w:b/>
          <w:bCs/>
        </w:rPr>
        <w:t>Scientific defensibility:</w:t>
      </w:r>
      <w:r w:rsidRPr="009579E5">
        <w:rPr>
          <w:rFonts w:ascii="Aptos" w:eastAsia="Times New Roman" w:hAnsi="Aptos"/>
        </w:rPr>
        <w:t xml:space="preserve"> Derived from appropriate data and assumptions, and reasonably representative of the emissions being estimated.</w:t>
      </w:r>
    </w:p>
    <w:p w14:paraId="7CF03A23" w14:textId="77777777" w:rsidR="0021273B" w:rsidRPr="009579E5" w:rsidRDefault="0021273B" w:rsidP="009579E5">
      <w:pPr>
        <w:numPr>
          <w:ilvl w:val="0"/>
          <w:numId w:val="20"/>
        </w:numPr>
        <w:spacing w:after="0" w:line="240" w:lineRule="auto"/>
        <w:ind w:left="648"/>
        <w:rPr>
          <w:rFonts w:ascii="Aptos" w:eastAsia="Times New Roman" w:hAnsi="Aptos"/>
        </w:rPr>
      </w:pPr>
      <w:r w:rsidRPr="009579E5">
        <w:rPr>
          <w:rFonts w:ascii="Aptos" w:eastAsia="Times New Roman" w:hAnsi="Aptos"/>
          <w:b/>
          <w:bCs/>
        </w:rPr>
        <w:t>Transparency:</w:t>
      </w:r>
      <w:r w:rsidRPr="009579E5">
        <w:rPr>
          <w:rFonts w:ascii="Aptos" w:eastAsia="Times New Roman" w:hAnsi="Aptos"/>
        </w:rPr>
        <w:t xml:space="preserve"> Clear documentation of data sources, vintage/period of applicability, calculation approach, and key assumptions.</w:t>
      </w:r>
    </w:p>
    <w:p w14:paraId="26F35591" w14:textId="77777777" w:rsidR="0021273B" w:rsidRPr="009579E5" w:rsidRDefault="0021273B" w:rsidP="009579E5">
      <w:pPr>
        <w:numPr>
          <w:ilvl w:val="0"/>
          <w:numId w:val="20"/>
        </w:numPr>
        <w:spacing w:after="0" w:line="240" w:lineRule="auto"/>
        <w:ind w:left="648"/>
        <w:rPr>
          <w:rFonts w:ascii="Aptos" w:eastAsia="Times New Roman" w:hAnsi="Aptos"/>
        </w:rPr>
      </w:pPr>
      <w:r w:rsidRPr="009579E5">
        <w:rPr>
          <w:rFonts w:ascii="Aptos" w:eastAsia="Times New Roman" w:hAnsi="Aptos"/>
          <w:b/>
          <w:bCs/>
        </w:rPr>
        <w:lastRenderedPageBreak/>
        <w:t>Completeness and consistency:</w:t>
      </w:r>
      <w:r w:rsidRPr="009579E5">
        <w:rPr>
          <w:rFonts w:ascii="Aptos" w:eastAsia="Times New Roman" w:hAnsi="Aptos"/>
        </w:rPr>
        <w:t xml:space="preserve"> Covers relevant greenhouse gases, applies consistent units/normalization, and uses specified global warming potentials (GWPs) consistent with program requirements.</w:t>
      </w:r>
    </w:p>
    <w:p w14:paraId="60265119" w14:textId="77777777" w:rsidR="0021273B" w:rsidRPr="009579E5" w:rsidRDefault="0021273B" w:rsidP="009579E5">
      <w:pPr>
        <w:numPr>
          <w:ilvl w:val="0"/>
          <w:numId w:val="20"/>
        </w:numPr>
        <w:spacing w:after="0" w:line="240" w:lineRule="auto"/>
        <w:ind w:left="648"/>
        <w:rPr>
          <w:rFonts w:ascii="Aptos" w:eastAsia="Times New Roman" w:hAnsi="Aptos"/>
        </w:rPr>
      </w:pPr>
      <w:r w:rsidRPr="009579E5">
        <w:rPr>
          <w:rFonts w:ascii="Aptos" w:eastAsia="Times New Roman" w:hAnsi="Aptos"/>
          <w:b/>
          <w:bCs/>
        </w:rPr>
        <w:t>Auditability:</w:t>
      </w:r>
      <w:r w:rsidRPr="009579E5">
        <w:rPr>
          <w:rFonts w:ascii="Aptos" w:eastAsia="Times New Roman" w:hAnsi="Aptos"/>
        </w:rPr>
        <w:t xml:space="preserve"> Sufficient documentation to support third-party assurance and reproducibility.</w:t>
      </w:r>
    </w:p>
    <w:p w14:paraId="3902197A" w14:textId="77777777" w:rsidR="0021273B" w:rsidRPr="009579E5" w:rsidRDefault="0021273B" w:rsidP="009579E5">
      <w:pPr>
        <w:numPr>
          <w:ilvl w:val="0"/>
          <w:numId w:val="20"/>
        </w:numPr>
        <w:spacing w:after="0" w:line="240" w:lineRule="auto"/>
        <w:ind w:left="648"/>
        <w:rPr>
          <w:rFonts w:ascii="Aptos" w:eastAsia="Times New Roman" w:hAnsi="Aptos"/>
        </w:rPr>
      </w:pPr>
      <w:r w:rsidRPr="009579E5">
        <w:rPr>
          <w:rFonts w:ascii="Aptos" w:eastAsia="Times New Roman" w:hAnsi="Aptos"/>
          <w:b/>
          <w:bCs/>
        </w:rPr>
        <w:t>Practicality:</w:t>
      </w:r>
      <w:r w:rsidRPr="009579E5">
        <w:rPr>
          <w:rFonts w:ascii="Aptos" w:eastAsia="Times New Roman" w:hAnsi="Aptos"/>
        </w:rPr>
        <w:t xml:space="preserve"> Usable by reporting entities without undue burden, while maintaining integrity.</w:t>
      </w:r>
    </w:p>
    <w:p w14:paraId="528BBB4C" w14:textId="12AC3048" w:rsidR="0021273B" w:rsidRPr="00BE15F2" w:rsidRDefault="0021273B">
      <w:pPr>
        <w:rPr>
          <w:kern w:val="0"/>
          <w:sz w:val="20"/>
          <w:szCs w:val="20"/>
          <w14:ligatures w14:val="none"/>
        </w:rPr>
      </w:pPr>
      <w:r w:rsidRPr="00BE15F2">
        <w:rPr>
          <w:i/>
          <w:iCs/>
          <w:sz w:val="20"/>
          <w:szCs w:val="20"/>
        </w:rPr>
        <w:t>[References: GHG Protocol guidance on emission factors/data quality; IPCC Guidelines for National GHG Inventories.]</w:t>
      </w:r>
    </w:p>
    <w:p w14:paraId="7E879300" w14:textId="77777777" w:rsidR="0021273B" w:rsidRDefault="0021273B">
      <w:pPr>
        <w:rPr>
          <w:kern w:val="0"/>
          <w14:ligatures w14:val="none"/>
        </w:rPr>
      </w:pPr>
      <w:r>
        <w:rPr>
          <w:b/>
          <w:bCs/>
        </w:rPr>
        <w:t>Q7.</w:t>
      </w:r>
      <w:r>
        <w:t xml:space="preserve"> How should reporters document and explain their use of a particular emission factor, including proprietary models?</w:t>
      </w:r>
    </w:p>
    <w:p w14:paraId="32523112" w14:textId="75FF666C" w:rsidR="0021273B" w:rsidRDefault="240B9F9C">
      <w:r w:rsidRPr="0E2679F5">
        <w:rPr>
          <w:b/>
          <w:bCs/>
        </w:rPr>
        <w:t>A7.</w:t>
      </w:r>
      <w:r>
        <w:t xml:space="preserve"> CARB could consider requiring reporters to document, at a minimum, the emission factor source (or model name), the applicable activity data, the gases covered, the unit basis, the </w:t>
      </w:r>
      <w:proofErr w:type="gramStart"/>
      <w:r>
        <w:t>time period</w:t>
      </w:r>
      <w:proofErr w:type="gramEnd"/>
      <w:r>
        <w:t xml:space="preserve">/vintage, and any key assumptions. For proprietary models, CARB could allow protection of confidential business information while still requiring sufficient disclosure to support review and assurance (e.g., model purpose, inputs/outputs, validation approach, and version control). Aligning these expectations with the GHG Protocol can help promote consistency. </w:t>
      </w:r>
      <w:r w:rsidR="00B32D46" w:rsidRPr="00B32D46">
        <w:t xml:space="preserve">Guidelines exist around product carbon footprints that can support high quality value chain data collection, such as ISO 14083, </w:t>
      </w:r>
      <w:proofErr w:type="spellStart"/>
      <w:r w:rsidR="00B32D46" w:rsidRPr="00B32D46">
        <w:t>TfS</w:t>
      </w:r>
      <w:proofErr w:type="spellEnd"/>
      <w:r w:rsidR="00B32D46" w:rsidRPr="00B32D46">
        <w:t xml:space="preserve"> Guidelines, and the Partnership for Carbon Transparency.</w:t>
      </w:r>
      <w:r w:rsidR="00B32D46">
        <w:t xml:space="preserve"> </w:t>
      </w:r>
      <w:r w:rsidRPr="0E2679F5">
        <w:rPr>
          <w:i/>
          <w:iCs/>
          <w:sz w:val="20"/>
          <w:szCs w:val="20"/>
        </w:rPr>
        <w:t>[Reference</w:t>
      </w:r>
      <w:r w:rsidR="420D6922" w:rsidRPr="0E2679F5">
        <w:rPr>
          <w:i/>
          <w:iCs/>
          <w:sz w:val="20"/>
          <w:szCs w:val="20"/>
        </w:rPr>
        <w:t>s</w:t>
      </w:r>
      <w:r w:rsidRPr="0E2679F5">
        <w:rPr>
          <w:i/>
          <w:iCs/>
          <w:sz w:val="20"/>
          <w:szCs w:val="20"/>
        </w:rPr>
        <w:t>: GHG Protocol data quality and verification-related guidance</w:t>
      </w:r>
      <w:r w:rsidR="115B8129" w:rsidRPr="0E2679F5">
        <w:rPr>
          <w:i/>
          <w:iCs/>
          <w:sz w:val="20"/>
          <w:szCs w:val="20"/>
        </w:rPr>
        <w:t>.</w:t>
      </w:r>
      <w:r w:rsidR="420D6922" w:rsidRPr="0E2679F5">
        <w:rPr>
          <w:i/>
          <w:iCs/>
          <w:sz w:val="20"/>
          <w:szCs w:val="20"/>
        </w:rPr>
        <w:t>]</w:t>
      </w:r>
    </w:p>
    <w:p w14:paraId="56B07FC6" w14:textId="77777777" w:rsidR="0021273B" w:rsidRDefault="0021273B">
      <w:pPr>
        <w:rPr>
          <w:kern w:val="0"/>
          <w14:ligatures w14:val="none"/>
        </w:rPr>
      </w:pPr>
      <w:r>
        <w:rPr>
          <w:b/>
          <w:bCs/>
        </w:rPr>
        <w:t>Q8.</w:t>
      </w:r>
      <w:r>
        <w:t xml:space="preserve"> How should reporters document and explain when changing EFs from </w:t>
      </w:r>
      <w:proofErr w:type="gramStart"/>
      <w:r>
        <w:t>a prior</w:t>
      </w:r>
      <w:proofErr w:type="gramEnd"/>
      <w:r>
        <w:t xml:space="preserve"> year?</w:t>
      </w:r>
    </w:p>
    <w:p w14:paraId="318C7A23" w14:textId="1323129D" w:rsidR="0021273B" w:rsidRDefault="0021273B">
      <w:pPr>
        <w:rPr>
          <w:kern w:val="0"/>
          <w14:ligatures w14:val="none"/>
        </w:rPr>
      </w:pPr>
      <w:r>
        <w:rPr>
          <w:b/>
          <w:bCs/>
        </w:rPr>
        <w:t>A8.</w:t>
      </w:r>
      <w:r>
        <w:t xml:space="preserve"> When emission factors change from a prior year, CARB could consider asking reporters to disclose (1) what changed (e.g., data source, methodology, model version), (2) why the change was made (e.g., improved accuracy or updated science), (3) the quantitative impact on emissions totals where practicable, and (4) whether prior-year emissions were recalculated to maintain time-series consistency. Aligning this approach with GHG Protocol principles on consistency and recalculation can improve comparability. </w:t>
      </w:r>
      <w:r w:rsidRPr="00BE15F2">
        <w:rPr>
          <w:i/>
          <w:iCs/>
          <w:sz w:val="20"/>
          <w:szCs w:val="20"/>
        </w:rPr>
        <w:t>[Reference: GHG Protocol Corporate Standard—recalculation of base year emissions/consistency.]</w:t>
      </w:r>
    </w:p>
    <w:p w14:paraId="63B68DB8" w14:textId="77777777" w:rsidR="0021273B" w:rsidRDefault="0021273B">
      <w:pPr>
        <w:pStyle w:val="Heading2"/>
        <w:rPr>
          <w:rFonts w:eastAsia="Times New Roman"/>
          <w:kern w:val="0"/>
          <w:sz w:val="36"/>
          <w:szCs w:val="36"/>
          <w14:ligatures w14:val="none"/>
        </w:rPr>
      </w:pPr>
      <w:r>
        <w:rPr>
          <w:rFonts w:eastAsia="Times New Roman"/>
        </w:rPr>
        <w:t>Scope 3 Option: Broad Applicability</w:t>
      </w:r>
    </w:p>
    <w:p w14:paraId="34B0B001" w14:textId="77777777" w:rsidR="0021273B" w:rsidRDefault="0021273B">
      <w:pPr>
        <w:rPr>
          <w:kern w:val="0"/>
          <w14:ligatures w14:val="none"/>
        </w:rPr>
      </w:pPr>
      <w:r>
        <w:rPr>
          <w:b/>
          <w:bCs/>
        </w:rPr>
        <w:t>Q9.</w:t>
      </w:r>
      <w:r>
        <w:t xml:space="preserve"> Should reporting entities be able to report as de minimis certain categories due to lack of relevance/materiality and/or feasibility?</w:t>
      </w:r>
    </w:p>
    <w:p w14:paraId="55F7B850" w14:textId="407BD79B" w:rsidR="0021273B" w:rsidRDefault="240B9F9C">
      <w:r w:rsidRPr="0E2679F5">
        <w:rPr>
          <w:b/>
          <w:bCs/>
        </w:rPr>
        <w:t>A9.</w:t>
      </w:r>
      <w:r>
        <w:t xml:space="preserve"> Allowing reporters to designate certain Scope 3 categories as de minimis may be appropriate where a category is not material and/or where estimation is not reasonably feasible using available methods. To support transparency and comparability, CARB could consider permitting a de minimis designation only where the entity documents a </w:t>
      </w:r>
      <w:r>
        <w:lastRenderedPageBreak/>
        <w:t xml:space="preserve">quantitative screening (and, where relevant, qualitative considerations) demonstrating that the category represents an immaterial share of total Scope 3 emissions and is unlikely to influence a reasonable stakeholder’s understanding of the inventory. Any de minimis exclusions </w:t>
      </w:r>
      <w:r w:rsidR="00B32D46">
        <w:t>sh</w:t>
      </w:r>
      <w:r>
        <w:t xml:space="preserve">ould be disclosed, justified, and reassessed periodically as data quality improves. </w:t>
      </w:r>
      <w:r w:rsidRPr="0E2679F5">
        <w:rPr>
          <w:i/>
          <w:iCs/>
          <w:sz w:val="20"/>
          <w:szCs w:val="20"/>
        </w:rPr>
        <w:t>[Reference: GHG Protocol Corporate Value Chain (Scope 3) Standard—relevance/materiality and completeness principles</w:t>
      </w:r>
      <w:r w:rsidR="115B8129" w:rsidRPr="0E2679F5">
        <w:rPr>
          <w:i/>
          <w:iCs/>
          <w:sz w:val="20"/>
          <w:szCs w:val="20"/>
        </w:rPr>
        <w:t>.</w:t>
      </w:r>
      <w:r w:rsidRPr="0E2679F5">
        <w:rPr>
          <w:i/>
          <w:iCs/>
          <w:sz w:val="20"/>
          <w:szCs w:val="20"/>
        </w:rPr>
        <w:t>]</w:t>
      </w:r>
    </w:p>
    <w:p w14:paraId="602FAC00" w14:textId="77777777" w:rsidR="0021273B" w:rsidRDefault="0021273B">
      <w:pPr>
        <w:rPr>
          <w:kern w:val="0"/>
          <w14:ligatures w14:val="none"/>
        </w:rPr>
      </w:pPr>
      <w:r>
        <w:rPr>
          <w:b/>
          <w:bCs/>
        </w:rPr>
        <w:t>Q10.</w:t>
      </w:r>
      <w:r>
        <w:t xml:space="preserve"> What specific thresholds, definitions, or decision frameworks should CARB use to determine when a Scope 3 category is considered de minimis to be reported?</w:t>
      </w:r>
    </w:p>
    <w:p w14:paraId="03DAAC9D" w14:textId="77777777" w:rsidR="0021273B" w:rsidRDefault="0021273B" w:rsidP="00940190">
      <w:pPr>
        <w:spacing w:after="0"/>
        <w:rPr>
          <w:kern w:val="0"/>
          <w14:ligatures w14:val="none"/>
        </w:rPr>
      </w:pPr>
      <w:r>
        <w:rPr>
          <w:b/>
          <w:bCs/>
        </w:rPr>
        <w:t>A10.</w:t>
      </w:r>
      <w:r>
        <w:t xml:space="preserve"> CARB may wish to retain flexibility and align, to the extent practicable, with evolving GHG Protocol guidance to avoid creating multiple, non-interoperable approaches. One option would be to use a two-step screen:</w:t>
      </w:r>
    </w:p>
    <w:p w14:paraId="4C8D2F04" w14:textId="77777777" w:rsidR="0021273B" w:rsidRPr="00940190" w:rsidRDefault="0021273B" w:rsidP="00940190">
      <w:pPr>
        <w:numPr>
          <w:ilvl w:val="1"/>
          <w:numId w:val="12"/>
        </w:numPr>
        <w:spacing w:after="0" w:line="240" w:lineRule="auto"/>
        <w:ind w:left="648"/>
        <w:rPr>
          <w:rFonts w:ascii="Aptos" w:eastAsia="Times New Roman" w:hAnsi="Aptos"/>
          <w:kern w:val="0"/>
          <w:sz w:val="20"/>
          <w:szCs w:val="20"/>
          <w14:ligatures w14:val="none"/>
        </w:rPr>
      </w:pPr>
      <w:r w:rsidRPr="00940190">
        <w:rPr>
          <w:rFonts w:ascii="Aptos" w:eastAsia="Times New Roman" w:hAnsi="Aptos"/>
          <w:b/>
          <w:bCs/>
          <w:sz w:val="20"/>
          <w:szCs w:val="20"/>
        </w:rPr>
        <w:t>Quantitative screen:</w:t>
      </w:r>
      <w:r w:rsidRPr="00940190">
        <w:rPr>
          <w:rFonts w:ascii="Aptos" w:eastAsia="Times New Roman" w:hAnsi="Aptos"/>
          <w:sz w:val="20"/>
          <w:szCs w:val="20"/>
        </w:rPr>
        <w:t xml:space="preserve"> A percentage-of-total Scope 3 threshold (with clear calculation instructions) to identify potentially immaterial categories.</w:t>
      </w:r>
    </w:p>
    <w:p w14:paraId="5F517761" w14:textId="77777777" w:rsidR="0021273B" w:rsidRPr="00940190" w:rsidRDefault="0021273B" w:rsidP="00940190">
      <w:pPr>
        <w:numPr>
          <w:ilvl w:val="0"/>
          <w:numId w:val="21"/>
        </w:numPr>
        <w:spacing w:after="0" w:line="240" w:lineRule="auto"/>
        <w:ind w:left="648"/>
        <w:rPr>
          <w:rFonts w:ascii="Aptos" w:eastAsia="Times New Roman" w:hAnsi="Aptos"/>
          <w:sz w:val="20"/>
          <w:szCs w:val="20"/>
        </w:rPr>
      </w:pPr>
      <w:r w:rsidRPr="00940190">
        <w:rPr>
          <w:rFonts w:ascii="Aptos" w:eastAsia="Times New Roman" w:hAnsi="Aptos"/>
          <w:b/>
          <w:bCs/>
          <w:sz w:val="20"/>
          <w:szCs w:val="20"/>
        </w:rPr>
        <w:t>Qualitative screen:</w:t>
      </w:r>
      <w:r w:rsidRPr="00940190">
        <w:rPr>
          <w:rFonts w:ascii="Aptos" w:eastAsia="Times New Roman" w:hAnsi="Aptos"/>
          <w:sz w:val="20"/>
          <w:szCs w:val="20"/>
        </w:rPr>
        <w:t xml:space="preserve"> Considerations such as relevance to stakeholders, sector context, and whether emissions may be expected to increase over time.</w:t>
      </w:r>
    </w:p>
    <w:p w14:paraId="1FE940C8" w14:textId="6255A55E" w:rsidR="0021273B" w:rsidRDefault="0021273B">
      <w:pPr>
        <w:rPr>
          <w:kern w:val="0"/>
          <w14:ligatures w14:val="none"/>
        </w:rPr>
      </w:pPr>
      <w:r>
        <w:t xml:space="preserve">CARB could also require documentation of the screening analysis and periodic reassessment. </w:t>
      </w:r>
      <w:r w:rsidRPr="00CE005A">
        <w:rPr>
          <w:i/>
          <w:iCs/>
          <w:sz w:val="20"/>
          <w:szCs w:val="20"/>
        </w:rPr>
        <w:t>[Reference</w:t>
      </w:r>
      <w:r w:rsidR="00CE005A" w:rsidRPr="00CE005A">
        <w:rPr>
          <w:i/>
          <w:iCs/>
          <w:sz w:val="20"/>
          <w:szCs w:val="20"/>
        </w:rPr>
        <w:t>s</w:t>
      </w:r>
      <w:r w:rsidRPr="00CE005A">
        <w:rPr>
          <w:i/>
          <w:iCs/>
          <w:sz w:val="20"/>
          <w:szCs w:val="20"/>
        </w:rPr>
        <w:t>: GHG Protocol Scope 3 Standard; any updated GHG Protocol guidance on de minimis/materiality if finalized.]</w:t>
      </w:r>
    </w:p>
    <w:p w14:paraId="1277E588" w14:textId="77777777" w:rsidR="0021273B" w:rsidRDefault="0021273B">
      <w:pPr>
        <w:rPr>
          <w:kern w:val="0"/>
          <w14:ligatures w14:val="none"/>
        </w:rPr>
      </w:pPr>
      <w:r>
        <w:rPr>
          <w:b/>
          <w:bCs/>
        </w:rPr>
        <w:t>Q11.</w:t>
      </w:r>
      <w:r>
        <w:t xml:space="preserve"> How should CARB weigh reporting flexibility against alignment with current mandatory and voluntary practices and other international standards?</w:t>
      </w:r>
    </w:p>
    <w:p w14:paraId="53D1C151" w14:textId="3E8E95A6" w:rsidR="0021273B" w:rsidRDefault="0021273B">
      <w:pPr>
        <w:rPr>
          <w:kern w:val="0"/>
          <w14:ligatures w14:val="none"/>
        </w:rPr>
      </w:pPr>
      <w:r>
        <w:rPr>
          <w:b/>
          <w:bCs/>
        </w:rPr>
        <w:t>A11.</w:t>
      </w:r>
      <w:r>
        <w:t xml:space="preserve"> CARB may wish to prioritize alignment with the GHG Protocol and other widely used international standards to support interoperability, comparability, and scalability of Scope 3 reporting. At the same time, limited reporting flexibility may be appropriate during initial implementation, provided it is clearly defined, time-bound where feasible, and supported by transparent documentation and good-faith estimation. </w:t>
      </w:r>
      <w:r w:rsidRPr="00CE005A">
        <w:rPr>
          <w:i/>
          <w:iCs/>
          <w:sz w:val="20"/>
          <w:szCs w:val="20"/>
        </w:rPr>
        <w:t>[Reference: GHG Protocol Scope 3 Standard.]</w:t>
      </w:r>
    </w:p>
    <w:p w14:paraId="61C034D1" w14:textId="77777777" w:rsidR="0021273B" w:rsidRDefault="0021273B">
      <w:pPr>
        <w:pStyle w:val="Heading2"/>
        <w:rPr>
          <w:rFonts w:eastAsia="Times New Roman"/>
          <w:kern w:val="0"/>
          <w:sz w:val="36"/>
          <w:szCs w:val="36"/>
          <w14:ligatures w14:val="none"/>
        </w:rPr>
      </w:pPr>
      <w:r>
        <w:rPr>
          <w:rFonts w:eastAsia="Times New Roman"/>
        </w:rPr>
        <w:t>Scope 3 Option: Category Phase-In</w:t>
      </w:r>
    </w:p>
    <w:p w14:paraId="2C9BF61F" w14:textId="77777777" w:rsidR="0021273B" w:rsidRDefault="0021273B">
      <w:pPr>
        <w:rPr>
          <w:kern w:val="0"/>
          <w14:ligatures w14:val="none"/>
        </w:rPr>
      </w:pPr>
      <w:r>
        <w:rPr>
          <w:b/>
          <w:bCs/>
        </w:rPr>
        <w:t>Q12.</w:t>
      </w:r>
      <w:r>
        <w:t xml:space="preserve"> Are these the appropriate categories to prioritize for initial reporting based on data availability and relevance across sectors?</w:t>
      </w:r>
    </w:p>
    <w:p w14:paraId="2F56F0EB" w14:textId="476CA340" w:rsidR="0021273B" w:rsidRPr="002319C6" w:rsidRDefault="240B9F9C">
      <w:r w:rsidRPr="0E2679F5">
        <w:rPr>
          <w:b/>
          <w:bCs/>
        </w:rPr>
        <w:t>A12.</w:t>
      </w:r>
      <w:r>
        <w:t xml:space="preserve"> Dow supports a category phase-in approach, supplemented by sector-specific guidance, to improve feasibility and data quality over time. Dow also suggests considering inclusion of Category 4 (Upstream Transportation and Distribution) in initial reporting, as it can be a significant emissions source for many companies and is often estimated using established approaches. </w:t>
      </w:r>
      <w:r w:rsidRPr="0E2679F5">
        <w:rPr>
          <w:i/>
          <w:iCs/>
          <w:sz w:val="20"/>
          <w:szCs w:val="20"/>
        </w:rPr>
        <w:t>[Reference: GHG Protocol Corporate Value Chain (Scope 3) Standard—Category 4; any relevant sector guidance (e.g., transport/logistics calculation guidance)</w:t>
      </w:r>
      <w:r w:rsidR="07E29911" w:rsidRPr="0E2679F5">
        <w:rPr>
          <w:i/>
          <w:iCs/>
          <w:sz w:val="20"/>
          <w:szCs w:val="20"/>
        </w:rPr>
        <w:t>; Global Logistics Emissions Council Framework</w:t>
      </w:r>
      <w:r w:rsidRPr="0E2679F5">
        <w:rPr>
          <w:i/>
          <w:iCs/>
          <w:sz w:val="20"/>
          <w:szCs w:val="20"/>
        </w:rPr>
        <w:t>.]</w:t>
      </w:r>
    </w:p>
    <w:sectPr w:rsidR="0021273B" w:rsidRPr="002319C6">
      <w:headerReference w:type="default" r:id="rId10"/>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8360" w14:textId="77777777" w:rsidR="00474679" w:rsidRDefault="00474679" w:rsidP="00582471">
      <w:pPr>
        <w:spacing w:after="0" w:line="240" w:lineRule="auto"/>
      </w:pPr>
      <w:r>
        <w:separator/>
      </w:r>
    </w:p>
  </w:endnote>
  <w:endnote w:type="continuationSeparator" w:id="0">
    <w:p w14:paraId="2EB21E1D" w14:textId="77777777" w:rsidR="00474679" w:rsidRDefault="00474679" w:rsidP="00582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D52D" w14:textId="230F9346" w:rsidR="00582471" w:rsidRDefault="00582471">
    <w:pPr>
      <w:pStyle w:val="Footer"/>
    </w:pPr>
    <w:r>
      <w:rPr>
        <w:noProof/>
      </w:rPr>
      <mc:AlternateContent>
        <mc:Choice Requires="wps">
          <w:drawing>
            <wp:anchor distT="0" distB="0" distL="0" distR="0" simplePos="0" relativeHeight="251659264" behindDoc="0" locked="0" layoutInCell="1" allowOverlap="1" wp14:anchorId="2791A28C" wp14:editId="08F0B02D">
              <wp:simplePos x="635" y="635"/>
              <wp:positionH relativeFrom="page">
                <wp:align>center</wp:align>
              </wp:positionH>
              <wp:positionV relativeFrom="page">
                <wp:align>bottom</wp:align>
              </wp:positionV>
              <wp:extent cx="956310" cy="370205"/>
              <wp:effectExtent l="0" t="0" r="15240" b="0"/>
              <wp:wrapNone/>
              <wp:docPr id="599404366" name="Text Box 2" descr="General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6310" cy="370205"/>
                      </a:xfrm>
                      <a:prstGeom prst="rect">
                        <a:avLst/>
                      </a:prstGeom>
                      <a:noFill/>
                      <a:ln>
                        <a:noFill/>
                      </a:ln>
                    </wps:spPr>
                    <wps:txbx>
                      <w:txbxContent>
                        <w:p w14:paraId="433EEFED" w14:textId="608721A6"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91A28C" id="_x0000_t202" coordsize="21600,21600" o:spt="202" path="m,l,21600r21600,l21600,xe">
              <v:stroke joinstyle="miter"/>
              <v:path gradientshapeok="t" o:connecttype="rect"/>
            </v:shapetype>
            <v:shape id="Text Box 2" o:spid="_x0000_s1026" type="#_x0000_t202" alt="General Business" style="position:absolute;margin-left:0;margin-top:0;width:75.3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8bYCQIAABUEAAAOAAAAZHJzL2Uyb0RvYy54bWysU8Fu2zAMvQ/YPwi6L3ZSpFu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" filled="f" stroked="f">
              <v:textbox style="mso-fit-shape-to-text:t" inset="0,0,0,15pt">
                <w:txbxContent>
                  <w:p w14:paraId="433EEFED" w14:textId="608721A6"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E3C3" w14:textId="5DC3EC9A" w:rsidR="00582471" w:rsidRDefault="00582471">
    <w:pPr>
      <w:pStyle w:val="Footer"/>
    </w:pPr>
    <w:r>
      <w:rPr>
        <w:noProof/>
      </w:rPr>
      <mc:AlternateContent>
        <mc:Choice Requires="wps">
          <w:drawing>
            <wp:anchor distT="0" distB="0" distL="0" distR="0" simplePos="0" relativeHeight="251660288" behindDoc="0" locked="0" layoutInCell="1" allowOverlap="1" wp14:anchorId="4058C8E1" wp14:editId="74C002D3">
              <wp:simplePos x="914400" y="9417050"/>
              <wp:positionH relativeFrom="page">
                <wp:align>center</wp:align>
              </wp:positionH>
              <wp:positionV relativeFrom="page">
                <wp:align>bottom</wp:align>
              </wp:positionV>
              <wp:extent cx="956310" cy="370205"/>
              <wp:effectExtent l="0" t="0" r="15240" b="0"/>
              <wp:wrapNone/>
              <wp:docPr id="577568008" name="Text Box 3" descr="General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6310" cy="370205"/>
                      </a:xfrm>
                      <a:prstGeom prst="rect">
                        <a:avLst/>
                      </a:prstGeom>
                      <a:noFill/>
                      <a:ln>
                        <a:noFill/>
                      </a:ln>
                    </wps:spPr>
                    <wps:txbx>
                      <w:txbxContent>
                        <w:p w14:paraId="11EE98AD" w14:textId="0963ECEF"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58C8E1" id="_x0000_t202" coordsize="21600,21600" o:spt="202" path="m,l,21600r21600,l21600,xe">
              <v:stroke joinstyle="miter"/>
              <v:path gradientshapeok="t" o:connecttype="rect"/>
            </v:shapetype>
            <v:shape id="Text Box 3" o:spid="_x0000_s1027" type="#_x0000_t202" alt="General Business" style="position:absolute;margin-left:0;margin-top:0;width:75.3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" filled="f" stroked="f">
              <v:textbox style="mso-fit-shape-to-text:t" inset="0,0,0,15pt">
                <w:txbxContent>
                  <w:p w14:paraId="11EE98AD" w14:textId="0963ECEF"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9ADC" w14:textId="6A28E806" w:rsidR="00582471" w:rsidRDefault="00582471">
    <w:pPr>
      <w:pStyle w:val="Footer"/>
    </w:pPr>
    <w:r>
      <w:rPr>
        <w:noProof/>
      </w:rPr>
      <mc:AlternateContent>
        <mc:Choice Requires="wps">
          <w:drawing>
            <wp:anchor distT="0" distB="0" distL="0" distR="0" simplePos="0" relativeHeight="251658240" behindDoc="0" locked="0" layoutInCell="1" allowOverlap="1" wp14:anchorId="3E5A192D" wp14:editId="4728B273">
              <wp:simplePos x="635" y="635"/>
              <wp:positionH relativeFrom="page">
                <wp:align>center</wp:align>
              </wp:positionH>
              <wp:positionV relativeFrom="page">
                <wp:align>bottom</wp:align>
              </wp:positionV>
              <wp:extent cx="956310" cy="370205"/>
              <wp:effectExtent l="0" t="0" r="15240" b="0"/>
              <wp:wrapNone/>
              <wp:docPr id="79472671" name="Text Box 1" descr="General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6310" cy="370205"/>
                      </a:xfrm>
                      <a:prstGeom prst="rect">
                        <a:avLst/>
                      </a:prstGeom>
                      <a:noFill/>
                      <a:ln>
                        <a:noFill/>
                      </a:ln>
                    </wps:spPr>
                    <wps:txbx>
                      <w:txbxContent>
                        <w:p w14:paraId="2F960A22" w14:textId="2A0F855B"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5A192D" id="_x0000_t202" coordsize="21600,21600" o:spt="202" path="m,l,21600r21600,l21600,xe">
              <v:stroke joinstyle="miter"/>
              <v:path gradientshapeok="t" o:connecttype="rect"/>
            </v:shapetype>
            <v:shape id="Text Box 1" o:spid="_x0000_s1028" type="#_x0000_t202" alt="General Business" style="position:absolute;margin-left:0;margin-top:0;width:75.3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G2DgIAABwEAAAOAAAAZHJzL2Uyb0RvYy54bWysU8Fu2zAMvQ/YPwi6L3ZSpFu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" filled="f" stroked="f">
              <v:textbox style="mso-fit-shape-to-text:t" inset="0,0,0,15pt">
                <w:txbxContent>
                  <w:p w14:paraId="2F960A22" w14:textId="2A0F855B" w:rsidR="00582471" w:rsidRPr="00582471" w:rsidRDefault="00582471" w:rsidP="00582471">
                    <w:pPr>
                      <w:spacing w:after="0"/>
                      <w:rPr>
                        <w:rFonts w:ascii="Aptos" w:eastAsia="Aptos" w:hAnsi="Aptos" w:cs="Aptos"/>
                        <w:noProof/>
                        <w:color w:val="000000"/>
                        <w:sz w:val="20"/>
                        <w:szCs w:val="20"/>
                      </w:rPr>
                    </w:pPr>
                    <w:r w:rsidRPr="00582471">
                      <w:rPr>
                        <w:rFonts w:ascii="Aptos" w:eastAsia="Aptos" w:hAnsi="Aptos" w:cs="Aptos"/>
                        <w:noProof/>
                        <w:color w:val="000000"/>
                        <w:sz w:val="20"/>
                        <w:szCs w:val="20"/>
                      </w:rPr>
                      <w:t>General Business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FA3F5" w14:textId="77777777" w:rsidR="00474679" w:rsidRDefault="00474679" w:rsidP="00582471">
      <w:pPr>
        <w:spacing w:after="0" w:line="240" w:lineRule="auto"/>
      </w:pPr>
      <w:r>
        <w:separator/>
      </w:r>
    </w:p>
  </w:footnote>
  <w:footnote w:type="continuationSeparator" w:id="0">
    <w:p w14:paraId="70BE9203" w14:textId="77777777" w:rsidR="00474679" w:rsidRDefault="00474679" w:rsidP="00582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BEFA" w14:textId="77777777" w:rsidR="003D3B55" w:rsidRPr="003D3B55" w:rsidRDefault="003D3B55" w:rsidP="003D3B55">
    <w:pPr>
      <w:pStyle w:val="Header"/>
      <w:jc w:val="center"/>
      <w:rPr>
        <w:b/>
        <w:bCs/>
      </w:rPr>
    </w:pPr>
    <w:r w:rsidRPr="003D3B55">
      <w:rPr>
        <w:b/>
        <w:bCs/>
      </w:rPr>
      <w:t xml:space="preserve">Dow’s Responses to </w:t>
    </w:r>
  </w:p>
  <w:p w14:paraId="768E6876" w14:textId="3836B0E9" w:rsidR="003D3B55" w:rsidRDefault="00B70076" w:rsidP="003D3B55">
    <w:pPr>
      <w:pStyle w:val="Header"/>
      <w:jc w:val="center"/>
      <w:rPr>
        <w:b/>
        <w:bCs/>
      </w:rPr>
    </w:pPr>
    <w:r w:rsidRPr="003D3B55">
      <w:rPr>
        <w:b/>
        <w:bCs/>
      </w:rPr>
      <w:t>California Air Resource Board Public Consultation</w:t>
    </w:r>
  </w:p>
  <w:p w14:paraId="53B37E21" w14:textId="77777777" w:rsidR="003D3B55" w:rsidRPr="003D3B55" w:rsidRDefault="003D3B55" w:rsidP="003D3B55">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E69"/>
    <w:multiLevelType w:val="multilevel"/>
    <w:tmpl w:val="8F4AA750"/>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204892"/>
    <w:multiLevelType w:val="multilevel"/>
    <w:tmpl w:val="BC22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D2B25"/>
    <w:multiLevelType w:val="multilevel"/>
    <w:tmpl w:val="BC4A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A7B82"/>
    <w:multiLevelType w:val="multilevel"/>
    <w:tmpl w:val="195AE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0D6F66"/>
    <w:multiLevelType w:val="multilevel"/>
    <w:tmpl w:val="DADE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72D3C"/>
    <w:multiLevelType w:val="multilevel"/>
    <w:tmpl w:val="205E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366A5"/>
    <w:multiLevelType w:val="multilevel"/>
    <w:tmpl w:val="3ADA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752BE"/>
    <w:multiLevelType w:val="hybridMultilevel"/>
    <w:tmpl w:val="152CB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459EE"/>
    <w:multiLevelType w:val="multilevel"/>
    <w:tmpl w:val="78AA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FE23AD"/>
    <w:multiLevelType w:val="multilevel"/>
    <w:tmpl w:val="B2D2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A0056"/>
    <w:multiLevelType w:val="multilevel"/>
    <w:tmpl w:val="0F6A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ED4434"/>
    <w:multiLevelType w:val="multilevel"/>
    <w:tmpl w:val="61C0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4B660D"/>
    <w:multiLevelType w:val="multilevel"/>
    <w:tmpl w:val="AA04C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B0FEB"/>
    <w:multiLevelType w:val="multilevel"/>
    <w:tmpl w:val="ACC8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9A45D1"/>
    <w:multiLevelType w:val="multilevel"/>
    <w:tmpl w:val="37B0C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67186C"/>
    <w:multiLevelType w:val="multilevel"/>
    <w:tmpl w:val="5F4E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F6D78"/>
    <w:multiLevelType w:val="multilevel"/>
    <w:tmpl w:val="E00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C00ECE"/>
    <w:multiLevelType w:val="multilevel"/>
    <w:tmpl w:val="2CCA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F85994"/>
    <w:multiLevelType w:val="multilevel"/>
    <w:tmpl w:val="981E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071FE1"/>
    <w:multiLevelType w:val="multilevel"/>
    <w:tmpl w:val="74BCE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772FED"/>
    <w:multiLevelType w:val="multilevel"/>
    <w:tmpl w:val="C43C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7D0C36"/>
    <w:multiLevelType w:val="multilevel"/>
    <w:tmpl w:val="492C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905396">
    <w:abstractNumId w:val="7"/>
  </w:num>
  <w:num w:numId="2" w16cid:durableId="98790184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3518843">
    <w:abstractNumId w:val="2"/>
  </w:num>
  <w:num w:numId="4" w16cid:durableId="911695960">
    <w:abstractNumId w:val="6"/>
  </w:num>
  <w:num w:numId="5" w16cid:durableId="280192903">
    <w:abstractNumId w:val="3"/>
  </w:num>
  <w:num w:numId="6" w16cid:durableId="656347095">
    <w:abstractNumId w:val="1"/>
  </w:num>
  <w:num w:numId="7" w16cid:durableId="2146777854">
    <w:abstractNumId w:val="18"/>
  </w:num>
  <w:num w:numId="8" w16cid:durableId="1866015438">
    <w:abstractNumId w:val="19"/>
  </w:num>
  <w:num w:numId="9" w16cid:durableId="101337924">
    <w:abstractNumId w:val="16"/>
  </w:num>
  <w:num w:numId="10" w16cid:durableId="1294795109">
    <w:abstractNumId w:val="15"/>
  </w:num>
  <w:num w:numId="11" w16cid:durableId="1468431778">
    <w:abstractNumId w:val="9"/>
  </w:num>
  <w:num w:numId="12" w16cid:durableId="29385105">
    <w:abstractNumId w:val="14"/>
  </w:num>
  <w:num w:numId="13" w16cid:durableId="79760177">
    <w:abstractNumId w:val="21"/>
  </w:num>
  <w:num w:numId="14" w16cid:durableId="1593318392">
    <w:abstractNumId w:val="11"/>
  </w:num>
  <w:num w:numId="15" w16cid:durableId="2898218">
    <w:abstractNumId w:val="20"/>
  </w:num>
  <w:num w:numId="16" w16cid:durableId="1771316330">
    <w:abstractNumId w:val="13"/>
  </w:num>
  <w:num w:numId="17" w16cid:durableId="745342934">
    <w:abstractNumId w:val="4"/>
  </w:num>
  <w:num w:numId="18" w16cid:durableId="808128059">
    <w:abstractNumId w:val="5"/>
  </w:num>
  <w:num w:numId="19" w16cid:durableId="177812388">
    <w:abstractNumId w:val="17"/>
  </w:num>
  <w:num w:numId="20" w16cid:durableId="1952852992">
    <w:abstractNumId w:val="8"/>
  </w:num>
  <w:num w:numId="21" w16cid:durableId="727218876">
    <w:abstractNumId w:val="10"/>
  </w:num>
  <w:num w:numId="22" w16cid:durableId="15740463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2F5"/>
    <w:rsid w:val="00071881"/>
    <w:rsid w:val="000F3A99"/>
    <w:rsid w:val="00131650"/>
    <w:rsid w:val="001432F7"/>
    <w:rsid w:val="0015566B"/>
    <w:rsid w:val="00185FDA"/>
    <w:rsid w:val="001E2949"/>
    <w:rsid w:val="001F2896"/>
    <w:rsid w:val="0021273B"/>
    <w:rsid w:val="002264A5"/>
    <w:rsid w:val="002319C6"/>
    <w:rsid w:val="00286DA6"/>
    <w:rsid w:val="002877D2"/>
    <w:rsid w:val="0029284B"/>
    <w:rsid w:val="002B6A44"/>
    <w:rsid w:val="002D6523"/>
    <w:rsid w:val="002E3364"/>
    <w:rsid w:val="002F2BCA"/>
    <w:rsid w:val="00306302"/>
    <w:rsid w:val="00322853"/>
    <w:rsid w:val="00323A24"/>
    <w:rsid w:val="00341F00"/>
    <w:rsid w:val="00391CF3"/>
    <w:rsid w:val="003A05C7"/>
    <w:rsid w:val="003B52FE"/>
    <w:rsid w:val="003D3B55"/>
    <w:rsid w:val="003E7BE7"/>
    <w:rsid w:val="00474679"/>
    <w:rsid w:val="0049271B"/>
    <w:rsid w:val="004C46F5"/>
    <w:rsid w:val="004C7E5D"/>
    <w:rsid w:val="00510DC5"/>
    <w:rsid w:val="00522F57"/>
    <w:rsid w:val="00582471"/>
    <w:rsid w:val="00592CFA"/>
    <w:rsid w:val="005B4EFC"/>
    <w:rsid w:val="00622152"/>
    <w:rsid w:val="00627E5B"/>
    <w:rsid w:val="00651AA9"/>
    <w:rsid w:val="00665843"/>
    <w:rsid w:val="00674B44"/>
    <w:rsid w:val="00680B44"/>
    <w:rsid w:val="00682C28"/>
    <w:rsid w:val="006B29E9"/>
    <w:rsid w:val="006B34AE"/>
    <w:rsid w:val="006B6BEB"/>
    <w:rsid w:val="006C2108"/>
    <w:rsid w:val="006D306E"/>
    <w:rsid w:val="007A6AD0"/>
    <w:rsid w:val="007A797E"/>
    <w:rsid w:val="007B3732"/>
    <w:rsid w:val="007D02F5"/>
    <w:rsid w:val="008371DE"/>
    <w:rsid w:val="008661C1"/>
    <w:rsid w:val="008C758A"/>
    <w:rsid w:val="008E0B5C"/>
    <w:rsid w:val="008E7171"/>
    <w:rsid w:val="00917521"/>
    <w:rsid w:val="00940190"/>
    <w:rsid w:val="009579E5"/>
    <w:rsid w:val="00960493"/>
    <w:rsid w:val="009B56FB"/>
    <w:rsid w:val="009E5A62"/>
    <w:rsid w:val="00AA5A65"/>
    <w:rsid w:val="00B32D46"/>
    <w:rsid w:val="00B51AEE"/>
    <w:rsid w:val="00B70076"/>
    <w:rsid w:val="00B86DDA"/>
    <w:rsid w:val="00BE15F2"/>
    <w:rsid w:val="00C648A8"/>
    <w:rsid w:val="00CA322B"/>
    <w:rsid w:val="00CE005A"/>
    <w:rsid w:val="00D16B03"/>
    <w:rsid w:val="00DB5214"/>
    <w:rsid w:val="00DC2695"/>
    <w:rsid w:val="00E24DC6"/>
    <w:rsid w:val="00E32A6E"/>
    <w:rsid w:val="00E50CC2"/>
    <w:rsid w:val="00E902BE"/>
    <w:rsid w:val="00EA2A71"/>
    <w:rsid w:val="00ED6161"/>
    <w:rsid w:val="00F409D8"/>
    <w:rsid w:val="00F43B5C"/>
    <w:rsid w:val="00F77041"/>
    <w:rsid w:val="00FA7031"/>
    <w:rsid w:val="00FD24E8"/>
    <w:rsid w:val="0189F6D1"/>
    <w:rsid w:val="03E656F6"/>
    <w:rsid w:val="04C01431"/>
    <w:rsid w:val="07E29911"/>
    <w:rsid w:val="0A02524A"/>
    <w:rsid w:val="0D862F1D"/>
    <w:rsid w:val="0E2679F5"/>
    <w:rsid w:val="104D9DB8"/>
    <w:rsid w:val="115B8129"/>
    <w:rsid w:val="12271145"/>
    <w:rsid w:val="12A46AF6"/>
    <w:rsid w:val="1591B2A3"/>
    <w:rsid w:val="240B9F9C"/>
    <w:rsid w:val="252BB20A"/>
    <w:rsid w:val="26EDDE84"/>
    <w:rsid w:val="3C70040C"/>
    <w:rsid w:val="420D6922"/>
    <w:rsid w:val="4958A80F"/>
    <w:rsid w:val="4985D872"/>
    <w:rsid w:val="4BA3D268"/>
    <w:rsid w:val="54A2E62C"/>
    <w:rsid w:val="578EFC17"/>
    <w:rsid w:val="5908AEA7"/>
    <w:rsid w:val="5E94C432"/>
    <w:rsid w:val="5F28AD98"/>
    <w:rsid w:val="6FAE474B"/>
    <w:rsid w:val="7783E2EE"/>
    <w:rsid w:val="7B869D1D"/>
    <w:rsid w:val="7E6BC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1DB7"/>
  <w15:chartTrackingRefBased/>
  <w15:docId w15:val="{8FF2E2F2-FE8A-4C34-B535-FA94F8D9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0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2F5"/>
    <w:rPr>
      <w:rFonts w:eastAsiaTheme="majorEastAsia" w:cstheme="majorBidi"/>
      <w:color w:val="272727" w:themeColor="text1" w:themeTint="D8"/>
    </w:rPr>
  </w:style>
  <w:style w:type="paragraph" w:styleId="Title">
    <w:name w:val="Title"/>
    <w:basedOn w:val="Normal"/>
    <w:next w:val="Normal"/>
    <w:link w:val="TitleChar"/>
    <w:uiPriority w:val="10"/>
    <w:qFormat/>
    <w:rsid w:val="007D0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2F5"/>
    <w:pPr>
      <w:spacing w:before="160"/>
      <w:jc w:val="center"/>
    </w:pPr>
    <w:rPr>
      <w:i/>
      <w:iCs/>
      <w:color w:val="404040" w:themeColor="text1" w:themeTint="BF"/>
    </w:rPr>
  </w:style>
  <w:style w:type="character" w:customStyle="1" w:styleId="QuoteChar">
    <w:name w:val="Quote Char"/>
    <w:basedOn w:val="DefaultParagraphFont"/>
    <w:link w:val="Quote"/>
    <w:uiPriority w:val="29"/>
    <w:rsid w:val="007D02F5"/>
    <w:rPr>
      <w:i/>
      <w:iCs/>
      <w:color w:val="404040" w:themeColor="text1" w:themeTint="BF"/>
    </w:rPr>
  </w:style>
  <w:style w:type="paragraph" w:styleId="ListParagraph">
    <w:name w:val="List Paragraph"/>
    <w:basedOn w:val="Normal"/>
    <w:uiPriority w:val="34"/>
    <w:qFormat/>
    <w:rsid w:val="007D02F5"/>
    <w:pPr>
      <w:ind w:left="720"/>
      <w:contextualSpacing/>
    </w:pPr>
  </w:style>
  <w:style w:type="character" w:styleId="IntenseEmphasis">
    <w:name w:val="Intense Emphasis"/>
    <w:basedOn w:val="DefaultParagraphFont"/>
    <w:uiPriority w:val="21"/>
    <w:qFormat/>
    <w:rsid w:val="007D02F5"/>
    <w:rPr>
      <w:i/>
      <w:iCs/>
      <w:color w:val="0F4761" w:themeColor="accent1" w:themeShade="BF"/>
    </w:rPr>
  </w:style>
  <w:style w:type="paragraph" w:styleId="IntenseQuote">
    <w:name w:val="Intense Quote"/>
    <w:basedOn w:val="Normal"/>
    <w:next w:val="Normal"/>
    <w:link w:val="IntenseQuoteChar"/>
    <w:uiPriority w:val="30"/>
    <w:qFormat/>
    <w:rsid w:val="007D0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2F5"/>
    <w:rPr>
      <w:i/>
      <w:iCs/>
      <w:color w:val="0F4761" w:themeColor="accent1" w:themeShade="BF"/>
    </w:rPr>
  </w:style>
  <w:style w:type="character" w:styleId="IntenseReference">
    <w:name w:val="Intense Reference"/>
    <w:basedOn w:val="DefaultParagraphFont"/>
    <w:uiPriority w:val="32"/>
    <w:qFormat/>
    <w:rsid w:val="007D02F5"/>
    <w:rPr>
      <w:b/>
      <w:bCs/>
      <w:smallCaps/>
      <w:color w:val="0F4761" w:themeColor="accent1" w:themeShade="BF"/>
      <w:spacing w:val="5"/>
    </w:rPr>
  </w:style>
  <w:style w:type="paragraph" w:styleId="Footer">
    <w:name w:val="footer"/>
    <w:basedOn w:val="Normal"/>
    <w:link w:val="FooterChar"/>
    <w:uiPriority w:val="99"/>
    <w:unhideWhenUsed/>
    <w:rsid w:val="00582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471"/>
  </w:style>
  <w:style w:type="paragraph" w:styleId="Header">
    <w:name w:val="header"/>
    <w:basedOn w:val="Normal"/>
    <w:link w:val="HeaderChar"/>
    <w:uiPriority w:val="99"/>
    <w:unhideWhenUsed/>
    <w:rsid w:val="00B70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076"/>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A79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f65505-c761-42e1-ba8f-f592680c8297">
      <Terms xmlns="http://schemas.microsoft.com/office/infopath/2007/PartnerControls"/>
    </lcf76f155ced4ddcb4097134ff3c332f>
    <TaxCatchAll xmlns="ed4333f0-f95c-4da0-bbb2-c787ec9b00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0B6A219A8A2346AC444C7697A7BCEB" ma:contentTypeVersion="18" ma:contentTypeDescription="Create a new document." ma:contentTypeScope="" ma:versionID="09f16f662af71af71c851c2e99becc9d">
  <xsd:schema xmlns:xsd="http://www.w3.org/2001/XMLSchema" xmlns:xs="http://www.w3.org/2001/XMLSchema" xmlns:p="http://schemas.microsoft.com/office/2006/metadata/properties" xmlns:ns2="72f65505-c761-42e1-ba8f-f592680c8297" xmlns:ns3="ed4333f0-f95c-4da0-bbb2-c787ec9b0028" targetNamespace="http://schemas.microsoft.com/office/2006/metadata/properties" ma:root="true" ma:fieldsID="b31045981aa0beb2076877d255f9afe0" ns2:_="" ns3:_="">
    <xsd:import namespace="72f65505-c761-42e1-ba8f-f592680c8297"/>
    <xsd:import namespace="ed4333f0-f95c-4da0-bbb2-c787ec9b00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65505-c761-42e1-ba8f-f592680c8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a6ff5bc-dc5e-4158-a2e5-49c56e9286a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333f0-f95c-4da0-bbb2-c787ec9b00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852032-c517-4410-bc64-da8113ff9536}" ma:internalName="TaxCatchAll" ma:showField="CatchAllData" ma:web="ed4333f0-f95c-4da0-bbb2-c787ec9b00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03D2A-E824-4923-BFB5-E8242F527244}">
  <ds:schemaRefs>
    <ds:schemaRef ds:uri="http://schemas.microsoft.com/sharepoint/v3/contenttype/forms"/>
  </ds:schemaRefs>
</ds:datastoreItem>
</file>

<file path=customXml/itemProps2.xml><?xml version="1.0" encoding="utf-8"?>
<ds:datastoreItem xmlns:ds="http://schemas.openxmlformats.org/officeDocument/2006/customXml" ds:itemID="{9818D2A5-4541-4FE2-9294-5DF9FB45B28F}">
  <ds:schemaRefs>
    <ds:schemaRef ds:uri="http://schemas.microsoft.com/office/2006/metadata/properties"/>
    <ds:schemaRef ds:uri="http://schemas.microsoft.com/office/infopath/2007/PartnerControls"/>
    <ds:schemaRef ds:uri="72f65505-c761-42e1-ba8f-f592680c8297"/>
    <ds:schemaRef ds:uri="ed4333f0-f95c-4da0-bbb2-c787ec9b0028"/>
  </ds:schemaRefs>
</ds:datastoreItem>
</file>

<file path=customXml/itemProps3.xml><?xml version="1.0" encoding="utf-8"?>
<ds:datastoreItem xmlns:ds="http://schemas.openxmlformats.org/officeDocument/2006/customXml" ds:itemID="{082FDB54-9803-477C-82D2-4FEAC5E90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65505-c761-42e1-ba8f-f592680c8297"/>
    <ds:schemaRef ds:uri="ed4333f0-f95c-4da0-bbb2-c787ec9b0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aac0ad3-18d9-49e9-a80d-c985041778ba}" enabled="1" method="Standard" siteId="{c3e32f53-cb7f-4809-968d-1cc4ccc785fe}"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1446</Words>
  <Characters>9372</Characters>
  <Application>Microsoft Office Word</Application>
  <DocSecurity>0</DocSecurity>
  <Lines>144</Lines>
  <Paragraphs>45</Paragraphs>
  <ScaleCrop>false</ScaleCrop>
  <Company>Dow Chemical Company</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DuPuis, Ashley (A)</dc:creator>
  <cp:keywords/>
  <dc:description/>
  <cp:lastModifiedBy>DuPuis, Ashley (A)</cp:lastModifiedBy>
  <cp:revision>7</cp:revision>
  <dcterms:created xsi:type="dcterms:W3CDTF">2026-05-28T18:45:00Z</dcterms:created>
  <dcterms:modified xsi:type="dcterms:W3CDTF">2026-05-28T18:48:00Z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4bca81f,23ba2f4e,226cfd08</vt:lpwstr>
  </property>
  <property fmtid="{D5CDD505-2E9C-101B-9397-08002B2CF9AE}" pid="3" name="ClassificationContentMarkingFooterFontProps">
    <vt:lpwstr>#000000,10,Aptos</vt:lpwstr>
  </property>
  <property fmtid="{D5CDD505-2E9C-101B-9397-08002B2CF9AE}" pid="4" name="ClassificationContentMarkingFooterText">
    <vt:lpwstr>General Business</vt:lpwstr>
  </property>
  <property fmtid="{D5CDD505-2E9C-101B-9397-08002B2CF9AE}" pid="5" name="ContentTypeId">
    <vt:lpwstr>0x010100DD0B6A219A8A2346AC444C7697A7BCEB</vt:lpwstr>
  </property>
  <property fmtid="{D5CDD505-2E9C-101B-9397-08002B2CF9AE}" pid="6" name="MediaServiceImageTags">
    <vt:lpwstr/>
  </property>
  <property fmtid="{D5CDD505-2E9C-101B-9397-08002B2CF9AE}" pid="7" name="docLang">
    <vt:lpwstr>en</vt:lpwstr>
  </property>
</Properties>
</file>