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E7B5" w14:textId="4F5A24D2" w:rsidR="00B25038" w:rsidRPr="004E7FF0" w:rsidRDefault="00943AED" w:rsidP="00B25038">
      <w:pPr>
        <w:rPr>
          <w:szCs w:val="24"/>
        </w:rPr>
      </w:pPr>
      <w:r w:rsidRPr="004E7FF0">
        <w:rPr>
          <w:szCs w:val="24"/>
        </w:rPr>
        <w:t>January 21, 2026</w:t>
      </w:r>
    </w:p>
    <w:p w14:paraId="0063FAE1" w14:textId="77777777" w:rsidR="00B25038" w:rsidRPr="004E7FF0" w:rsidRDefault="00B25038" w:rsidP="00B25038">
      <w:pPr>
        <w:rPr>
          <w:szCs w:val="24"/>
        </w:rPr>
      </w:pPr>
    </w:p>
    <w:p w14:paraId="589AE716" w14:textId="0536FCBB" w:rsidR="00B25038" w:rsidRPr="004E7FF0" w:rsidRDefault="00015264" w:rsidP="00B25038">
      <w:pPr>
        <w:rPr>
          <w:szCs w:val="24"/>
        </w:rPr>
      </w:pPr>
      <w:r w:rsidRPr="004E7FF0">
        <w:rPr>
          <w:szCs w:val="24"/>
        </w:rPr>
        <w:t>Lauren Sanchez, Chair</w:t>
      </w:r>
    </w:p>
    <w:p w14:paraId="49A01D6B" w14:textId="77777777" w:rsidR="00B25038" w:rsidRPr="004E7FF0" w:rsidRDefault="00B25038" w:rsidP="00B25038">
      <w:pPr>
        <w:rPr>
          <w:szCs w:val="24"/>
        </w:rPr>
      </w:pPr>
      <w:r w:rsidRPr="004E7FF0">
        <w:rPr>
          <w:szCs w:val="24"/>
        </w:rPr>
        <w:t>California Air Resources Board  </w:t>
      </w:r>
    </w:p>
    <w:p w14:paraId="1E957754" w14:textId="2837B749" w:rsidR="00B25038" w:rsidRPr="004E7FF0" w:rsidRDefault="00943AED" w:rsidP="00B25038">
      <w:pPr>
        <w:rPr>
          <w:szCs w:val="24"/>
        </w:rPr>
      </w:pPr>
      <w:r w:rsidRPr="004E7FF0">
        <w:rPr>
          <w:szCs w:val="24"/>
        </w:rPr>
        <w:t>1001 I street</w:t>
      </w:r>
    </w:p>
    <w:p w14:paraId="670F82BE" w14:textId="3DB6888F" w:rsidR="00B25038" w:rsidRPr="004E7FF0" w:rsidRDefault="00B25038" w:rsidP="00B25038">
      <w:pPr>
        <w:rPr>
          <w:szCs w:val="24"/>
        </w:rPr>
      </w:pPr>
      <w:r w:rsidRPr="004E7FF0">
        <w:rPr>
          <w:szCs w:val="24"/>
        </w:rPr>
        <w:t>Sacramento, CA  9581</w:t>
      </w:r>
      <w:r w:rsidR="00943AED" w:rsidRPr="004E7FF0">
        <w:rPr>
          <w:szCs w:val="24"/>
        </w:rPr>
        <w:t>4</w:t>
      </w:r>
      <w:r w:rsidRPr="004E7FF0">
        <w:rPr>
          <w:szCs w:val="24"/>
        </w:rPr>
        <w:t>  </w:t>
      </w:r>
    </w:p>
    <w:p w14:paraId="591799D3" w14:textId="77777777" w:rsidR="00B25038" w:rsidRPr="004E7FF0" w:rsidRDefault="00B25038" w:rsidP="00B25038">
      <w:pPr>
        <w:rPr>
          <w:szCs w:val="24"/>
        </w:rPr>
      </w:pPr>
    </w:p>
    <w:p w14:paraId="79751595" w14:textId="0DDE0EBC" w:rsidR="00B25038" w:rsidRPr="004E7FF0" w:rsidRDefault="00B25038" w:rsidP="00B25038">
      <w:pPr>
        <w:ind w:left="720" w:hanging="720"/>
        <w:rPr>
          <w:b/>
          <w:bCs/>
          <w:szCs w:val="24"/>
        </w:rPr>
      </w:pPr>
      <w:r w:rsidRPr="004E7FF0">
        <w:rPr>
          <w:b/>
          <w:bCs/>
          <w:szCs w:val="24"/>
        </w:rPr>
        <w:t>Re: </w:t>
      </w:r>
      <w:r w:rsidRPr="004E7FF0">
        <w:rPr>
          <w:b/>
          <w:bCs/>
          <w:szCs w:val="24"/>
        </w:rPr>
        <w:tab/>
      </w:r>
      <w:r w:rsidR="00094F0D" w:rsidRPr="004E7FF0">
        <w:rPr>
          <w:b/>
          <w:bCs/>
          <w:szCs w:val="24"/>
        </w:rPr>
        <w:t xml:space="preserve">Rinnai America Corp. </w:t>
      </w:r>
      <w:r w:rsidRPr="004E7FF0">
        <w:rPr>
          <w:b/>
          <w:bCs/>
          <w:szCs w:val="24"/>
        </w:rPr>
        <w:t xml:space="preserve">Comments on CARB’s </w:t>
      </w:r>
      <w:r w:rsidR="00704B6A" w:rsidRPr="004E7FF0">
        <w:rPr>
          <w:b/>
          <w:bCs/>
          <w:szCs w:val="24"/>
        </w:rPr>
        <w:t>Workshop on Zero-Emission Space and Water Heater Standards</w:t>
      </w:r>
      <w:r w:rsidRPr="004E7FF0">
        <w:rPr>
          <w:b/>
          <w:bCs/>
          <w:szCs w:val="24"/>
          <w:vertAlign w:val="subscript"/>
        </w:rPr>
        <w:t xml:space="preserve"> </w:t>
      </w:r>
      <w:r w:rsidRPr="004E7FF0">
        <w:rPr>
          <w:b/>
          <w:bCs/>
          <w:szCs w:val="24"/>
        </w:rPr>
        <w:t>(</w:t>
      </w:r>
      <w:r w:rsidR="00704B6A" w:rsidRPr="004E7FF0">
        <w:rPr>
          <w:b/>
          <w:bCs/>
          <w:szCs w:val="24"/>
        </w:rPr>
        <w:t>December 11</w:t>
      </w:r>
      <w:r w:rsidRPr="004E7FF0">
        <w:rPr>
          <w:b/>
          <w:bCs/>
          <w:szCs w:val="24"/>
        </w:rPr>
        <w:t>, 2025)</w:t>
      </w:r>
    </w:p>
    <w:p w14:paraId="6C6F0019" w14:textId="77777777" w:rsidR="00B25038" w:rsidRPr="004E7FF0" w:rsidRDefault="00B25038" w:rsidP="00B25038">
      <w:pPr>
        <w:ind w:left="720" w:hanging="720"/>
        <w:rPr>
          <w:szCs w:val="24"/>
        </w:rPr>
      </w:pPr>
    </w:p>
    <w:p w14:paraId="1BC9DE7B" w14:textId="0D80146B" w:rsidR="00B25038" w:rsidRPr="004E7FF0" w:rsidRDefault="00B25038" w:rsidP="00B25038">
      <w:pPr>
        <w:rPr>
          <w:szCs w:val="24"/>
        </w:rPr>
      </w:pPr>
      <w:r w:rsidRPr="004E7FF0">
        <w:rPr>
          <w:szCs w:val="24"/>
        </w:rPr>
        <w:t xml:space="preserve"> Dear </w:t>
      </w:r>
      <w:r w:rsidR="002A69ED" w:rsidRPr="004E7FF0">
        <w:rPr>
          <w:szCs w:val="24"/>
        </w:rPr>
        <w:t>Chair Sanchez</w:t>
      </w:r>
      <w:r w:rsidRPr="004E7FF0">
        <w:rPr>
          <w:szCs w:val="24"/>
        </w:rPr>
        <w:t>:  </w:t>
      </w:r>
    </w:p>
    <w:p w14:paraId="7E419838" w14:textId="77777777" w:rsidR="00B25038" w:rsidRPr="004E7FF0" w:rsidRDefault="00B25038" w:rsidP="00B25038">
      <w:pPr>
        <w:rPr>
          <w:szCs w:val="24"/>
        </w:rPr>
      </w:pPr>
    </w:p>
    <w:p w14:paraId="2A68D726" w14:textId="77777777" w:rsidR="00B25038" w:rsidRPr="004E7FF0" w:rsidRDefault="00B25038" w:rsidP="00B25038">
      <w:pPr>
        <w:spacing w:after="240"/>
        <w:ind w:firstLine="720"/>
        <w:rPr>
          <w:szCs w:val="24"/>
        </w:rPr>
      </w:pPr>
      <w:r w:rsidRPr="004E7FF0">
        <w:rPr>
          <w:szCs w:val="24"/>
        </w:rPr>
        <w:t xml:space="preserve">Rinnai America Corporation is a leading manufacturer and supplier of gas water heaters and boilers in North America. Our manufacturing, distribution, and sales footprint is national, including significant sales in California. Our business is directly affected by state and local measures that ban, materially restrict, or burden the sale and installation of gas appliances.  </w:t>
      </w:r>
    </w:p>
    <w:p w14:paraId="23CD684C" w14:textId="0E7EC238" w:rsidR="00B924A8" w:rsidRPr="004E7FF0" w:rsidRDefault="00B25038" w:rsidP="00B924A8">
      <w:pPr>
        <w:spacing w:after="240"/>
        <w:ind w:firstLine="720"/>
        <w:rPr>
          <w:szCs w:val="24"/>
        </w:rPr>
      </w:pPr>
      <w:r w:rsidRPr="004E7FF0">
        <w:rPr>
          <w:szCs w:val="24"/>
        </w:rPr>
        <w:t xml:space="preserve">Rinnai </w:t>
      </w:r>
      <w:r w:rsidR="00AF676C" w:rsidRPr="004E7FF0">
        <w:rPr>
          <w:szCs w:val="24"/>
        </w:rPr>
        <w:t xml:space="preserve">appreciates the opportunity to provide comments on </w:t>
      </w:r>
      <w:r w:rsidRPr="004E7FF0">
        <w:rPr>
          <w:szCs w:val="24"/>
        </w:rPr>
        <w:t xml:space="preserve">the approach </w:t>
      </w:r>
      <w:r w:rsidR="00AF676C" w:rsidRPr="004E7FF0">
        <w:rPr>
          <w:szCs w:val="24"/>
        </w:rPr>
        <w:t>proposed</w:t>
      </w:r>
      <w:r w:rsidRPr="004E7FF0">
        <w:rPr>
          <w:szCs w:val="24"/>
        </w:rPr>
        <w:t xml:space="preserve"> in California Air Resources Board’s (CARB) </w:t>
      </w:r>
      <w:r w:rsidR="00AF676C" w:rsidRPr="004E7FF0">
        <w:rPr>
          <w:szCs w:val="24"/>
        </w:rPr>
        <w:t>December 11</w:t>
      </w:r>
      <w:r w:rsidRPr="004E7FF0">
        <w:rPr>
          <w:szCs w:val="24"/>
        </w:rPr>
        <w:t>, 2025</w:t>
      </w:r>
      <w:r w:rsidR="00AF676C" w:rsidRPr="004E7FF0">
        <w:rPr>
          <w:szCs w:val="24"/>
        </w:rPr>
        <w:t xml:space="preserve"> presentation </w:t>
      </w:r>
      <w:r w:rsidR="00642453" w:rsidRPr="004E7FF0">
        <w:rPr>
          <w:szCs w:val="24"/>
        </w:rPr>
        <w:t xml:space="preserve">for its Zero-Emission Space and Water Heater Standards. </w:t>
      </w:r>
      <w:r w:rsidR="00F677F0" w:rsidRPr="004E7FF0">
        <w:rPr>
          <w:szCs w:val="24"/>
        </w:rPr>
        <w:t xml:space="preserve"> </w:t>
      </w:r>
      <w:r w:rsidR="00F464F2" w:rsidRPr="004E7FF0">
        <w:rPr>
          <w:szCs w:val="24"/>
        </w:rPr>
        <w:t>While Rinnai supports efforts to increase energy efficiency and reduce emission</w:t>
      </w:r>
      <w:r w:rsidR="00343C1E" w:rsidRPr="004E7FF0">
        <w:rPr>
          <w:szCs w:val="24"/>
        </w:rPr>
        <w:t>s</w:t>
      </w:r>
      <w:r w:rsidR="00355329" w:rsidRPr="004E7FF0">
        <w:rPr>
          <w:szCs w:val="24"/>
        </w:rPr>
        <w:t>—and is a leader in developing innovative products such as hydrogen-fueled water heaters—</w:t>
      </w:r>
      <w:r w:rsidR="00F464F2" w:rsidRPr="004E7FF0">
        <w:rPr>
          <w:szCs w:val="24"/>
        </w:rPr>
        <w:t xml:space="preserve">it has concerns with an approach that partially bans gas appliances and limits the affordable, reliable </w:t>
      </w:r>
      <w:r w:rsidR="005F267A" w:rsidRPr="004E7FF0">
        <w:rPr>
          <w:szCs w:val="24"/>
        </w:rPr>
        <w:t xml:space="preserve">appliances that are available for consumers with varied needs and preferences.  </w:t>
      </w:r>
      <w:r w:rsidR="00562205" w:rsidRPr="004E7FF0">
        <w:rPr>
          <w:szCs w:val="24"/>
        </w:rPr>
        <w:t xml:space="preserve">The proposed market-cap approach also imposes burdens and expense on manufacturers, potentially leading to appliance shortages and higher prices </w:t>
      </w:r>
      <w:r w:rsidR="00AF1DA5" w:rsidRPr="004E7FF0">
        <w:rPr>
          <w:szCs w:val="24"/>
        </w:rPr>
        <w:t xml:space="preserve">at a time when Californians are suffering from </w:t>
      </w:r>
      <w:r w:rsidR="00535338" w:rsidRPr="004E7FF0">
        <w:rPr>
          <w:szCs w:val="24"/>
        </w:rPr>
        <w:t xml:space="preserve">a lack of affordable housing and rising energy prices, particularly for electricity. </w:t>
      </w:r>
    </w:p>
    <w:p w14:paraId="348C0F11" w14:textId="1D443D64" w:rsidR="00F71E0C" w:rsidRPr="004E7FF0" w:rsidRDefault="0064202E" w:rsidP="002F0BEA">
      <w:pPr>
        <w:spacing w:after="240"/>
        <w:ind w:firstLine="720"/>
        <w:rPr>
          <w:szCs w:val="24"/>
        </w:rPr>
      </w:pPr>
      <w:r w:rsidRPr="004E7FF0">
        <w:rPr>
          <w:szCs w:val="24"/>
        </w:rPr>
        <w:t>It is Rinnai’s understanding that until this recent proposal</w:t>
      </w:r>
      <w:r w:rsidR="00F71E0C" w:rsidRPr="004E7FF0">
        <w:rPr>
          <w:bCs/>
          <w:szCs w:val="24"/>
        </w:rPr>
        <w:t xml:space="preserve">, CARB was </w:t>
      </w:r>
      <w:r w:rsidRPr="004E7FF0">
        <w:rPr>
          <w:bCs/>
          <w:szCs w:val="24"/>
        </w:rPr>
        <w:t>on course to issue</w:t>
      </w:r>
      <w:r w:rsidR="00F71E0C" w:rsidRPr="004E7FF0">
        <w:rPr>
          <w:bCs/>
          <w:szCs w:val="24"/>
        </w:rPr>
        <w:t xml:space="preserve"> zero-emissions standards that would have acted as a </w:t>
      </w:r>
      <w:r w:rsidR="00F71E0C" w:rsidRPr="004E7FF0">
        <w:rPr>
          <w:bCs/>
          <w:i/>
          <w:iCs/>
          <w:szCs w:val="24"/>
        </w:rPr>
        <w:t xml:space="preserve">de facto </w:t>
      </w:r>
      <w:r w:rsidR="00F71E0C" w:rsidRPr="004E7FF0">
        <w:rPr>
          <w:bCs/>
          <w:szCs w:val="24"/>
        </w:rPr>
        <w:t>ban on EPCA-covered appliances, phased in by varying deadlines.</w:t>
      </w:r>
      <w:r w:rsidR="005117CE" w:rsidRPr="004E7FF0">
        <w:rPr>
          <w:bCs/>
          <w:szCs w:val="24"/>
        </w:rPr>
        <w:t xml:space="preserve"> </w:t>
      </w:r>
      <w:r w:rsidR="00F71E0C" w:rsidRPr="004E7FF0">
        <w:rPr>
          <w:bCs/>
          <w:szCs w:val="24"/>
        </w:rPr>
        <w:t xml:space="preserve"> </w:t>
      </w:r>
      <w:r w:rsidR="0079167F" w:rsidRPr="004E7FF0">
        <w:rPr>
          <w:bCs/>
          <w:szCs w:val="24"/>
        </w:rPr>
        <w:t xml:space="preserve">As CARB </w:t>
      </w:r>
      <w:r w:rsidR="002B3AD2" w:rsidRPr="004E7FF0">
        <w:rPr>
          <w:bCs/>
          <w:szCs w:val="24"/>
        </w:rPr>
        <w:t xml:space="preserve">well </w:t>
      </w:r>
      <w:r w:rsidR="0079167F" w:rsidRPr="004E7FF0">
        <w:rPr>
          <w:bCs/>
          <w:szCs w:val="24"/>
        </w:rPr>
        <w:t xml:space="preserve">knows, Rinnai is the lead plaintiff in a lawsuit challenging just such </w:t>
      </w:r>
      <w:r w:rsidR="002B3AD2" w:rsidRPr="004E7FF0">
        <w:rPr>
          <w:bCs/>
          <w:szCs w:val="24"/>
        </w:rPr>
        <w:t>z</w:t>
      </w:r>
      <w:r w:rsidR="0079167F" w:rsidRPr="004E7FF0">
        <w:rPr>
          <w:bCs/>
          <w:szCs w:val="24"/>
        </w:rPr>
        <w:t xml:space="preserve">ero-emission appliance rules </w:t>
      </w:r>
      <w:r w:rsidR="002B3AD2" w:rsidRPr="004E7FF0">
        <w:rPr>
          <w:bCs/>
          <w:szCs w:val="24"/>
        </w:rPr>
        <w:t xml:space="preserve">as preempted by </w:t>
      </w:r>
      <w:r w:rsidR="002F0BEA" w:rsidRPr="004E7FF0">
        <w:rPr>
          <w:bCs/>
          <w:szCs w:val="24"/>
        </w:rPr>
        <w:t>the Energy Policy &amp; Conservation Act (EPCA),</w:t>
      </w:r>
      <w:r w:rsidR="002F0BEA" w:rsidRPr="004E7FF0">
        <w:rPr>
          <w:szCs w:val="24"/>
        </w:rPr>
        <w:t xml:space="preserve"> </w:t>
      </w:r>
      <w:r w:rsidR="002F0BEA" w:rsidRPr="004E7FF0">
        <w:rPr>
          <w:szCs w:val="24"/>
        </w:rPr>
        <w:t>42 U.S.C. §629</w:t>
      </w:r>
      <w:r w:rsidR="003253F0" w:rsidRPr="004E7FF0">
        <w:rPr>
          <w:szCs w:val="24"/>
        </w:rPr>
        <w:t xml:space="preserve">1 </w:t>
      </w:r>
      <w:r w:rsidR="003253F0" w:rsidRPr="004E7FF0">
        <w:rPr>
          <w:i/>
          <w:iCs/>
          <w:szCs w:val="24"/>
        </w:rPr>
        <w:t>et seq.</w:t>
      </w:r>
      <w:r w:rsidR="002F0BEA" w:rsidRPr="004E7FF0">
        <w:rPr>
          <w:szCs w:val="24"/>
        </w:rPr>
        <w:t>,</w:t>
      </w:r>
      <w:r w:rsidR="002F0BEA" w:rsidRPr="004E7FF0">
        <w:rPr>
          <w:bCs/>
          <w:szCs w:val="24"/>
        </w:rPr>
        <w:t xml:space="preserve"> </w:t>
      </w:r>
      <w:r w:rsidR="004E5123" w:rsidRPr="004E7FF0">
        <w:rPr>
          <w:bCs/>
          <w:szCs w:val="24"/>
        </w:rPr>
        <w:t>making them</w:t>
      </w:r>
      <w:r w:rsidR="002F0BEA" w:rsidRPr="004E7FF0">
        <w:rPr>
          <w:bCs/>
          <w:szCs w:val="24"/>
        </w:rPr>
        <w:t xml:space="preserve"> void and unenforceable. </w:t>
      </w:r>
      <w:r w:rsidR="002F0BEA" w:rsidRPr="004E7FF0">
        <w:rPr>
          <w:bCs/>
          <w:i/>
          <w:iCs/>
          <w:szCs w:val="24"/>
        </w:rPr>
        <w:t>Rinnai</w:t>
      </w:r>
      <w:r w:rsidR="006C3118" w:rsidRPr="004E7FF0">
        <w:rPr>
          <w:bCs/>
          <w:i/>
          <w:iCs/>
          <w:szCs w:val="24"/>
        </w:rPr>
        <w:t xml:space="preserve"> America Corp., et al.</w:t>
      </w:r>
      <w:r w:rsidR="002F0BEA" w:rsidRPr="004E7FF0">
        <w:rPr>
          <w:bCs/>
          <w:i/>
          <w:iCs/>
          <w:szCs w:val="24"/>
        </w:rPr>
        <w:t xml:space="preserve"> v. </w:t>
      </w:r>
      <w:r w:rsidR="006C3118" w:rsidRPr="004E7FF0">
        <w:rPr>
          <w:bCs/>
          <w:i/>
          <w:iCs/>
          <w:szCs w:val="24"/>
        </w:rPr>
        <w:t>South Coast Air Quality Management District</w:t>
      </w:r>
      <w:r w:rsidR="006C3118" w:rsidRPr="004E7FF0">
        <w:rPr>
          <w:bCs/>
          <w:szCs w:val="24"/>
        </w:rPr>
        <w:t xml:space="preserve">, No. </w:t>
      </w:r>
      <w:r w:rsidR="00E62B53" w:rsidRPr="004E7FF0">
        <w:rPr>
          <w:bCs/>
          <w:szCs w:val="24"/>
        </w:rPr>
        <w:t>25-5129</w:t>
      </w:r>
      <w:r w:rsidR="006C3118" w:rsidRPr="004E7FF0">
        <w:rPr>
          <w:bCs/>
          <w:szCs w:val="24"/>
        </w:rPr>
        <w:t xml:space="preserve"> (Ninth Circuit) (appeal pending</w:t>
      </w:r>
      <w:r w:rsidR="00E62B53" w:rsidRPr="004E7FF0">
        <w:rPr>
          <w:bCs/>
          <w:szCs w:val="24"/>
        </w:rPr>
        <w:t>; oral argument scheduled for Feb. 6, 2025</w:t>
      </w:r>
      <w:r w:rsidR="006C3118" w:rsidRPr="004E7FF0">
        <w:rPr>
          <w:bCs/>
          <w:szCs w:val="24"/>
        </w:rPr>
        <w:t xml:space="preserve">).  </w:t>
      </w:r>
      <w:r w:rsidR="002F0BEA" w:rsidRPr="004E7FF0">
        <w:rPr>
          <w:szCs w:val="24"/>
        </w:rPr>
        <w:t>Such</w:t>
      </w:r>
      <w:r w:rsidR="00F71E0C" w:rsidRPr="004E7FF0">
        <w:rPr>
          <w:szCs w:val="24"/>
        </w:rPr>
        <w:t xml:space="preserve"> rules effectively ban gas appliances by prohibiting any combustion emissions</w:t>
      </w:r>
      <w:r w:rsidR="00F05AE1" w:rsidRPr="004E7FF0">
        <w:rPr>
          <w:szCs w:val="24"/>
        </w:rPr>
        <w:t xml:space="preserve"> and therefore concern the energy use of those appliances</w:t>
      </w:r>
      <w:r w:rsidR="00F71E0C" w:rsidRPr="004E7FF0">
        <w:rPr>
          <w:szCs w:val="24"/>
        </w:rPr>
        <w:t xml:space="preserve">. </w:t>
      </w:r>
      <w:r w:rsidR="00F71E0C" w:rsidRPr="004E7FF0">
        <w:rPr>
          <w:i/>
          <w:iCs/>
          <w:szCs w:val="24"/>
        </w:rPr>
        <w:t xml:space="preserve">See </w:t>
      </w:r>
      <w:r w:rsidR="00F71E0C" w:rsidRPr="004E7FF0">
        <w:rPr>
          <w:szCs w:val="24"/>
        </w:rPr>
        <w:t>42 U.S.C. §6297(c) (preempting any state regulation concerning the energy use of covered appliances). Th</w:t>
      </w:r>
      <w:r w:rsidR="0003541C" w:rsidRPr="004E7FF0">
        <w:rPr>
          <w:szCs w:val="24"/>
        </w:rPr>
        <w:t xml:space="preserve">e </w:t>
      </w:r>
      <w:r w:rsidR="00F71E0C" w:rsidRPr="004E7FF0">
        <w:rPr>
          <w:szCs w:val="24"/>
        </w:rPr>
        <w:t>Ninth Circuit’s recent decision in</w:t>
      </w:r>
      <w:r w:rsidR="00F71E0C" w:rsidRPr="004E7FF0">
        <w:rPr>
          <w:i/>
          <w:iCs/>
          <w:szCs w:val="24"/>
        </w:rPr>
        <w:t xml:space="preserve"> California Restaurant Ass’n v. City of Berkeley</w:t>
      </w:r>
      <w:r w:rsidR="00F71E0C" w:rsidRPr="004E7FF0">
        <w:rPr>
          <w:szCs w:val="24"/>
        </w:rPr>
        <w:t xml:space="preserve">, 89 F.4th 1094 (9th Cir. 2024), held </w:t>
      </w:r>
      <w:r w:rsidR="0003541C" w:rsidRPr="004E7FF0">
        <w:rPr>
          <w:szCs w:val="24"/>
        </w:rPr>
        <w:t>just that</w:t>
      </w:r>
      <w:r w:rsidR="00DB35C5" w:rsidRPr="004E7FF0">
        <w:rPr>
          <w:szCs w:val="24"/>
        </w:rPr>
        <w:t xml:space="preserve">: </w:t>
      </w:r>
      <w:r w:rsidR="0003541C" w:rsidRPr="004E7FF0">
        <w:rPr>
          <w:szCs w:val="24"/>
        </w:rPr>
        <w:t xml:space="preserve"> </w:t>
      </w:r>
      <w:r w:rsidR="00F71E0C" w:rsidRPr="004E7FF0">
        <w:rPr>
          <w:szCs w:val="24"/>
        </w:rPr>
        <w:t>“</w:t>
      </w:r>
      <w:r w:rsidR="00DB35C5" w:rsidRPr="004E7FF0">
        <w:rPr>
          <w:szCs w:val="24"/>
        </w:rPr>
        <w:t>[A]</w:t>
      </w:r>
      <w:r w:rsidR="00F71E0C" w:rsidRPr="004E7FF0">
        <w:rPr>
          <w:szCs w:val="24"/>
        </w:rPr>
        <w:t xml:space="preserve"> regulation on ‘energy use’ fairly encompasses an ordinance that effectively eliminates the ‘use’ of an energy source.” </w:t>
      </w:r>
      <w:r w:rsidR="00F71E0C" w:rsidRPr="004E7FF0">
        <w:rPr>
          <w:i/>
          <w:iCs/>
          <w:szCs w:val="24"/>
        </w:rPr>
        <w:t>Id.</w:t>
      </w:r>
      <w:r w:rsidR="00F71E0C" w:rsidRPr="004E7FF0">
        <w:rPr>
          <w:szCs w:val="24"/>
        </w:rPr>
        <w:t xml:space="preserve"> at 1102. </w:t>
      </w:r>
      <w:r w:rsidR="00635994" w:rsidRPr="004E7FF0">
        <w:rPr>
          <w:szCs w:val="24"/>
        </w:rPr>
        <w:t>Under the Ninth Circuit’s holding and reasoning, z</w:t>
      </w:r>
      <w:r w:rsidR="00F71E0C" w:rsidRPr="004E7FF0">
        <w:rPr>
          <w:szCs w:val="24"/>
        </w:rPr>
        <w:t xml:space="preserve">ero-emission appliance standards </w:t>
      </w:r>
      <w:r w:rsidR="00DB35C5" w:rsidRPr="004E7FF0">
        <w:rPr>
          <w:szCs w:val="24"/>
        </w:rPr>
        <w:t>“relate to ‘the quantity of [natural gas] directly consumed by’ certain consumer appliances at the place where those products are used</w:t>
      </w:r>
      <w:r w:rsidR="004622CD" w:rsidRPr="004E7FF0">
        <w:rPr>
          <w:szCs w:val="24"/>
        </w:rPr>
        <w:t>,</w:t>
      </w:r>
      <w:r w:rsidR="00DB35C5" w:rsidRPr="004E7FF0">
        <w:rPr>
          <w:szCs w:val="24"/>
        </w:rPr>
        <w:t>”</w:t>
      </w:r>
      <w:r w:rsidR="004622CD" w:rsidRPr="004E7FF0">
        <w:rPr>
          <w:szCs w:val="24"/>
        </w:rPr>
        <w:t xml:space="preserve"> </w:t>
      </w:r>
      <w:r w:rsidR="004622CD" w:rsidRPr="004E7FF0">
        <w:rPr>
          <w:i/>
          <w:iCs/>
          <w:szCs w:val="24"/>
        </w:rPr>
        <w:t>i</w:t>
      </w:r>
      <w:r w:rsidR="004622CD" w:rsidRPr="004E7FF0">
        <w:rPr>
          <w:i/>
          <w:iCs/>
          <w:szCs w:val="24"/>
        </w:rPr>
        <w:t>d.</w:t>
      </w:r>
      <w:r w:rsidR="004622CD" w:rsidRPr="004E7FF0">
        <w:rPr>
          <w:szCs w:val="24"/>
        </w:rPr>
        <w:t xml:space="preserve"> at 1101</w:t>
      </w:r>
      <w:r w:rsidR="004622CD" w:rsidRPr="004E7FF0">
        <w:rPr>
          <w:szCs w:val="24"/>
        </w:rPr>
        <w:t>,</w:t>
      </w:r>
      <w:r w:rsidR="00DB35C5" w:rsidRPr="004E7FF0">
        <w:rPr>
          <w:szCs w:val="24"/>
        </w:rPr>
        <w:t xml:space="preserve"> </w:t>
      </w:r>
      <w:r w:rsidR="005117CE" w:rsidRPr="004E7FF0">
        <w:rPr>
          <w:szCs w:val="24"/>
        </w:rPr>
        <w:t xml:space="preserve">and </w:t>
      </w:r>
      <w:r w:rsidR="005117CE" w:rsidRPr="004E7FF0">
        <w:rPr>
          <w:szCs w:val="24"/>
        </w:rPr>
        <w:t xml:space="preserve">are </w:t>
      </w:r>
      <w:r w:rsidR="005117CE" w:rsidRPr="004E7FF0">
        <w:rPr>
          <w:szCs w:val="24"/>
        </w:rPr>
        <w:t xml:space="preserve">therefore </w:t>
      </w:r>
      <w:r w:rsidR="005117CE" w:rsidRPr="004E7FF0">
        <w:rPr>
          <w:szCs w:val="24"/>
        </w:rPr>
        <w:t>preempted</w:t>
      </w:r>
      <w:r w:rsidR="00DB35C5" w:rsidRPr="004E7FF0">
        <w:rPr>
          <w:szCs w:val="24"/>
        </w:rPr>
        <w:t>.</w:t>
      </w:r>
      <w:r w:rsidR="00DB35C5" w:rsidRPr="004E7FF0" w:rsidDel="002947C0">
        <w:rPr>
          <w:szCs w:val="24"/>
        </w:rPr>
        <w:t xml:space="preserve"> </w:t>
      </w:r>
    </w:p>
    <w:p w14:paraId="2C44FF66" w14:textId="1CE846E1" w:rsidR="00DB1A04" w:rsidRPr="004E7FF0" w:rsidRDefault="00860CF8" w:rsidP="00DB1A04">
      <w:pPr>
        <w:spacing w:after="240"/>
        <w:ind w:firstLine="720"/>
        <w:rPr>
          <w:bCs/>
          <w:szCs w:val="24"/>
        </w:rPr>
      </w:pPr>
      <w:r w:rsidRPr="004E7FF0">
        <w:rPr>
          <w:szCs w:val="24"/>
        </w:rPr>
        <w:t xml:space="preserve">Making this a partial or limited ban, rather than a 100% ban, </w:t>
      </w:r>
      <w:r w:rsidR="00A95EB4" w:rsidRPr="004E7FF0">
        <w:rPr>
          <w:szCs w:val="24"/>
        </w:rPr>
        <w:t xml:space="preserve">by regulating appliance sales </w:t>
      </w:r>
      <w:r w:rsidRPr="004E7FF0">
        <w:rPr>
          <w:szCs w:val="24"/>
        </w:rPr>
        <w:t>does not avoid the</w:t>
      </w:r>
      <w:r w:rsidR="00C80C90" w:rsidRPr="004E7FF0">
        <w:rPr>
          <w:szCs w:val="24"/>
        </w:rPr>
        <w:t>se</w:t>
      </w:r>
      <w:r w:rsidRPr="004E7FF0">
        <w:rPr>
          <w:szCs w:val="24"/>
        </w:rPr>
        <w:t xml:space="preserve"> preemption concerns.  It is still regulating concerning the energy use of appliances </w:t>
      </w:r>
      <w:r w:rsidR="004C7DCA" w:rsidRPr="004E7FF0">
        <w:rPr>
          <w:szCs w:val="24"/>
        </w:rPr>
        <w:t xml:space="preserve">for </w:t>
      </w:r>
      <w:r w:rsidR="004C7DCA" w:rsidRPr="004E7FF0">
        <w:rPr>
          <w:szCs w:val="24"/>
        </w:rPr>
        <w:lastRenderedPageBreak/>
        <w:t>the appliances that cannot be sold by manufacturers or used by consumers</w:t>
      </w:r>
      <w:r w:rsidR="00472F01" w:rsidRPr="004E7FF0">
        <w:rPr>
          <w:szCs w:val="24"/>
        </w:rPr>
        <w:t>—the appliances above the market cap that would otherwise be sold</w:t>
      </w:r>
      <w:r w:rsidR="004C7DCA" w:rsidRPr="004E7FF0">
        <w:rPr>
          <w:szCs w:val="24"/>
        </w:rPr>
        <w:t xml:space="preserve">.  </w:t>
      </w:r>
      <w:r w:rsidR="006522F2" w:rsidRPr="004E7FF0">
        <w:rPr>
          <w:szCs w:val="24"/>
        </w:rPr>
        <w:t xml:space="preserve">CARB’s revised proposal </w:t>
      </w:r>
      <w:r w:rsidR="00F71E0C" w:rsidRPr="004E7FF0">
        <w:rPr>
          <w:bCs/>
          <w:szCs w:val="24"/>
        </w:rPr>
        <w:t>imposes limits on sales of EPCA-covered gas appliances as a percentage of total appliance sales</w:t>
      </w:r>
      <w:r w:rsidR="0025531D" w:rsidRPr="004E7FF0">
        <w:rPr>
          <w:bCs/>
          <w:szCs w:val="24"/>
        </w:rPr>
        <w:t>, a</w:t>
      </w:r>
      <w:r w:rsidR="003B5AF8" w:rsidRPr="004E7FF0">
        <w:rPr>
          <w:bCs/>
          <w:szCs w:val="24"/>
        </w:rPr>
        <w:t xml:space="preserve">nd </w:t>
      </w:r>
      <w:r w:rsidR="00C3399C" w:rsidRPr="004E7FF0">
        <w:rPr>
          <w:bCs/>
          <w:szCs w:val="24"/>
        </w:rPr>
        <w:t>i</w:t>
      </w:r>
      <w:r w:rsidR="00F71E0C" w:rsidRPr="004E7FF0">
        <w:rPr>
          <w:bCs/>
          <w:szCs w:val="24"/>
        </w:rPr>
        <w:t>f those limits are exceeded, manufacturers must either have credits</w:t>
      </w:r>
      <w:r w:rsidR="00C3399C" w:rsidRPr="004E7FF0">
        <w:rPr>
          <w:bCs/>
          <w:szCs w:val="24"/>
        </w:rPr>
        <w:t xml:space="preserve"> (which remain largely undefined)</w:t>
      </w:r>
      <w:r w:rsidR="00F71E0C" w:rsidRPr="004E7FF0">
        <w:rPr>
          <w:bCs/>
          <w:szCs w:val="24"/>
        </w:rPr>
        <w:t xml:space="preserve"> or </w:t>
      </w:r>
      <w:r w:rsidR="00C3399C" w:rsidRPr="004E7FF0">
        <w:rPr>
          <w:bCs/>
          <w:szCs w:val="24"/>
        </w:rPr>
        <w:t xml:space="preserve">must </w:t>
      </w:r>
      <w:r w:rsidR="00F71E0C" w:rsidRPr="004E7FF0">
        <w:rPr>
          <w:bCs/>
          <w:szCs w:val="24"/>
        </w:rPr>
        <w:t>pay a penalty</w:t>
      </w:r>
      <w:r w:rsidR="00192B91" w:rsidRPr="004E7FF0">
        <w:rPr>
          <w:bCs/>
          <w:szCs w:val="24"/>
        </w:rPr>
        <w:t xml:space="preserve"> (</w:t>
      </w:r>
      <w:r w:rsidR="0025531D" w:rsidRPr="004E7FF0">
        <w:rPr>
          <w:bCs/>
          <w:szCs w:val="24"/>
        </w:rPr>
        <w:t>un</w:t>
      </w:r>
      <w:r w:rsidR="00192B91" w:rsidRPr="004E7FF0">
        <w:rPr>
          <w:bCs/>
          <w:szCs w:val="24"/>
        </w:rPr>
        <w:t>defined)</w:t>
      </w:r>
      <w:r w:rsidR="00F71E0C" w:rsidRPr="004E7FF0">
        <w:rPr>
          <w:bCs/>
          <w:szCs w:val="24"/>
        </w:rPr>
        <w:t xml:space="preserve"> on the sale of </w:t>
      </w:r>
      <w:r w:rsidR="009066DF" w:rsidRPr="004E7FF0">
        <w:rPr>
          <w:bCs/>
          <w:szCs w:val="24"/>
        </w:rPr>
        <w:t>that</w:t>
      </w:r>
      <w:r w:rsidR="00F71E0C" w:rsidRPr="004E7FF0">
        <w:rPr>
          <w:bCs/>
          <w:szCs w:val="24"/>
        </w:rPr>
        <w:t xml:space="preserve"> covered product. </w:t>
      </w:r>
      <w:r w:rsidR="0065627D" w:rsidRPr="004E7FF0">
        <w:rPr>
          <w:bCs/>
          <w:szCs w:val="24"/>
        </w:rPr>
        <w:t xml:space="preserve"> While the proposed credit and penalty system is offered in an effort to provide regulatory flexibility, </w:t>
      </w:r>
      <w:r w:rsidR="00D31656" w:rsidRPr="004E7FF0">
        <w:rPr>
          <w:bCs/>
          <w:szCs w:val="24"/>
        </w:rPr>
        <w:t>it seems unlikely to do so in practice—and indeed, the goal of the whole system is to reduce sales of gas appliances</w:t>
      </w:r>
      <w:r w:rsidR="00C57D2C" w:rsidRPr="004E7FF0">
        <w:rPr>
          <w:bCs/>
          <w:szCs w:val="24"/>
        </w:rPr>
        <w:t xml:space="preserve"> </w:t>
      </w:r>
      <w:r w:rsidR="00F73221">
        <w:rPr>
          <w:bCs/>
          <w:szCs w:val="24"/>
        </w:rPr>
        <w:t xml:space="preserve">as a share of the appliance market </w:t>
      </w:r>
      <w:r w:rsidR="00C57D2C" w:rsidRPr="004E7FF0">
        <w:rPr>
          <w:bCs/>
          <w:szCs w:val="24"/>
        </w:rPr>
        <w:t>significantly</w:t>
      </w:r>
      <w:r w:rsidR="00D31656" w:rsidRPr="004E7FF0">
        <w:rPr>
          <w:bCs/>
          <w:szCs w:val="24"/>
        </w:rPr>
        <w:t xml:space="preserve">.  </w:t>
      </w:r>
      <w:r w:rsidR="00C57D2C" w:rsidRPr="004E7FF0">
        <w:rPr>
          <w:bCs/>
          <w:szCs w:val="24"/>
        </w:rPr>
        <w:t>It seems fair to a</w:t>
      </w:r>
      <w:r w:rsidR="00D31656" w:rsidRPr="004E7FF0">
        <w:rPr>
          <w:bCs/>
          <w:szCs w:val="24"/>
        </w:rPr>
        <w:t>ssum</w:t>
      </w:r>
      <w:r w:rsidR="00C57D2C" w:rsidRPr="004E7FF0">
        <w:rPr>
          <w:bCs/>
          <w:szCs w:val="24"/>
        </w:rPr>
        <w:t>e that</w:t>
      </w:r>
      <w:r w:rsidR="00D31656" w:rsidRPr="004E7FF0">
        <w:rPr>
          <w:bCs/>
          <w:szCs w:val="24"/>
        </w:rPr>
        <w:t xml:space="preserve"> the system </w:t>
      </w:r>
      <w:r w:rsidR="00D82F63" w:rsidRPr="004E7FF0">
        <w:rPr>
          <w:bCs/>
          <w:szCs w:val="24"/>
        </w:rPr>
        <w:t xml:space="preserve">will </w:t>
      </w:r>
      <w:r w:rsidR="009066DF" w:rsidRPr="004E7FF0">
        <w:rPr>
          <w:bCs/>
          <w:szCs w:val="24"/>
        </w:rPr>
        <w:t>achieve its goal</w:t>
      </w:r>
      <w:r w:rsidR="00D31656" w:rsidRPr="004E7FF0">
        <w:rPr>
          <w:bCs/>
          <w:szCs w:val="24"/>
        </w:rPr>
        <w:t xml:space="preserve">, either </w:t>
      </w:r>
      <w:r w:rsidR="00D82F63" w:rsidRPr="004E7FF0">
        <w:rPr>
          <w:bCs/>
          <w:szCs w:val="24"/>
        </w:rPr>
        <w:t xml:space="preserve">because </w:t>
      </w:r>
      <w:r w:rsidR="00D31656" w:rsidRPr="004E7FF0">
        <w:rPr>
          <w:bCs/>
          <w:szCs w:val="24"/>
        </w:rPr>
        <w:t>credits will not be sold</w:t>
      </w:r>
      <w:r w:rsidR="00D82F63" w:rsidRPr="004E7FF0">
        <w:rPr>
          <w:bCs/>
          <w:szCs w:val="24"/>
        </w:rPr>
        <w:t xml:space="preserve"> (</w:t>
      </w:r>
      <w:r w:rsidR="0058749B" w:rsidRPr="004E7FF0">
        <w:rPr>
          <w:bCs/>
          <w:szCs w:val="24"/>
        </w:rPr>
        <w:t>a</w:t>
      </w:r>
      <w:r w:rsidR="00D82F63" w:rsidRPr="004E7FF0">
        <w:rPr>
          <w:bCs/>
          <w:szCs w:val="24"/>
        </w:rPr>
        <w:t xml:space="preserve"> likely result) or because the cost of credits and/or penalties will be so significant as to </w:t>
      </w:r>
      <w:r w:rsidR="000C4E71" w:rsidRPr="004E7FF0">
        <w:rPr>
          <w:bCs/>
          <w:szCs w:val="24"/>
        </w:rPr>
        <w:t>make</w:t>
      </w:r>
      <w:r w:rsidR="00D82F63" w:rsidRPr="004E7FF0">
        <w:rPr>
          <w:bCs/>
          <w:szCs w:val="24"/>
        </w:rPr>
        <w:t xml:space="preserve"> gas appliances over the </w:t>
      </w:r>
      <w:r w:rsidR="000C4E71" w:rsidRPr="004E7FF0">
        <w:rPr>
          <w:bCs/>
          <w:szCs w:val="24"/>
        </w:rPr>
        <w:t>market caps non-competitive</w:t>
      </w:r>
      <w:r w:rsidR="0042268F" w:rsidRPr="004E7FF0">
        <w:rPr>
          <w:bCs/>
          <w:szCs w:val="24"/>
        </w:rPr>
        <w:t xml:space="preserve"> and unaffordable</w:t>
      </w:r>
      <w:r w:rsidR="00D82F63" w:rsidRPr="004E7FF0">
        <w:rPr>
          <w:bCs/>
          <w:szCs w:val="24"/>
        </w:rPr>
        <w:t>.</w:t>
      </w:r>
    </w:p>
    <w:p w14:paraId="65CD2B2C" w14:textId="6C6AFCC3" w:rsidR="00DF1EFD" w:rsidRPr="004E7FF0" w:rsidRDefault="00DB1A04" w:rsidP="009747D2">
      <w:pPr>
        <w:spacing w:after="240"/>
        <w:ind w:firstLine="720"/>
        <w:rPr>
          <w:bCs/>
          <w:szCs w:val="24"/>
        </w:rPr>
      </w:pPr>
      <w:r w:rsidRPr="004E7FF0">
        <w:rPr>
          <w:bCs/>
          <w:szCs w:val="24"/>
        </w:rPr>
        <w:t xml:space="preserve">Moreover, this proposal directly harms smaller manufacturers </w:t>
      </w:r>
      <w:r w:rsidR="005E14EF" w:rsidRPr="004E7FF0">
        <w:rPr>
          <w:bCs/>
          <w:szCs w:val="24"/>
        </w:rPr>
        <w:t>like Rinnai</w:t>
      </w:r>
      <w:r w:rsidRPr="004E7FF0">
        <w:rPr>
          <w:bCs/>
          <w:szCs w:val="24"/>
        </w:rPr>
        <w:t xml:space="preserve"> that make more gas appliances than electric appliances.  </w:t>
      </w:r>
      <w:r w:rsidR="005E14EF" w:rsidRPr="004E7FF0">
        <w:rPr>
          <w:bCs/>
          <w:szCs w:val="24"/>
        </w:rPr>
        <w:t xml:space="preserve">While </w:t>
      </w:r>
      <w:r w:rsidR="00F71E0C" w:rsidRPr="004E7FF0">
        <w:rPr>
          <w:bCs/>
          <w:szCs w:val="24"/>
        </w:rPr>
        <w:t>CARB provides few details on how this system is</w:t>
      </w:r>
      <w:r w:rsidR="005E14EF" w:rsidRPr="004E7FF0">
        <w:rPr>
          <w:bCs/>
          <w:szCs w:val="24"/>
        </w:rPr>
        <w:t xml:space="preserve"> actually</w:t>
      </w:r>
      <w:r w:rsidR="00F71E0C" w:rsidRPr="004E7FF0">
        <w:rPr>
          <w:bCs/>
          <w:szCs w:val="24"/>
        </w:rPr>
        <w:t xml:space="preserve"> expected to work in practice</w:t>
      </w:r>
      <w:r w:rsidR="00B83663" w:rsidRPr="004E7FF0">
        <w:rPr>
          <w:bCs/>
          <w:szCs w:val="24"/>
        </w:rPr>
        <w:t xml:space="preserve">, the credits are gained by selling electric appliances.  That from the start heavily favors manufacturers that sell more electric than gas appliances.  </w:t>
      </w:r>
      <w:r w:rsidR="004F781E" w:rsidRPr="004E7FF0">
        <w:rPr>
          <w:bCs/>
          <w:szCs w:val="24"/>
        </w:rPr>
        <w:t xml:space="preserve">Large manufacturers with larger electric portfolios </w:t>
      </w:r>
      <w:r w:rsidR="002E049E" w:rsidRPr="004E7FF0">
        <w:rPr>
          <w:bCs/>
          <w:szCs w:val="24"/>
        </w:rPr>
        <w:t xml:space="preserve">will use their </w:t>
      </w:r>
      <w:r w:rsidR="00F71E0C" w:rsidRPr="004E7FF0">
        <w:rPr>
          <w:bCs/>
          <w:szCs w:val="24"/>
        </w:rPr>
        <w:t xml:space="preserve">credits to sell their own gas appliances, </w:t>
      </w:r>
      <w:r w:rsidR="004F781E" w:rsidRPr="004E7FF0">
        <w:rPr>
          <w:bCs/>
          <w:szCs w:val="24"/>
        </w:rPr>
        <w:t>and they will have little incentive to sell credits to smaller gas-</w:t>
      </w:r>
      <w:r w:rsidR="00AA4337" w:rsidRPr="004E7FF0">
        <w:rPr>
          <w:bCs/>
          <w:szCs w:val="24"/>
        </w:rPr>
        <w:t>appliance</w:t>
      </w:r>
      <w:r w:rsidR="004F781E" w:rsidRPr="004E7FF0">
        <w:rPr>
          <w:bCs/>
          <w:szCs w:val="24"/>
        </w:rPr>
        <w:t xml:space="preserve"> </w:t>
      </w:r>
      <w:r w:rsidR="00F71E0C" w:rsidRPr="004E7FF0">
        <w:rPr>
          <w:bCs/>
          <w:szCs w:val="24"/>
        </w:rPr>
        <w:t xml:space="preserve">manufacturers </w:t>
      </w:r>
      <w:r w:rsidR="004F781E" w:rsidRPr="004E7FF0">
        <w:rPr>
          <w:bCs/>
          <w:szCs w:val="24"/>
        </w:rPr>
        <w:t xml:space="preserve">like Rinnai </w:t>
      </w:r>
      <w:r w:rsidR="00AA4337" w:rsidRPr="004E7FF0">
        <w:rPr>
          <w:bCs/>
          <w:szCs w:val="24"/>
        </w:rPr>
        <w:t>that are competing with them in the market</w:t>
      </w:r>
      <w:r w:rsidR="00DC1083" w:rsidRPr="004E7FF0">
        <w:rPr>
          <w:bCs/>
          <w:szCs w:val="24"/>
        </w:rPr>
        <w:t xml:space="preserve">—or will price the credit so high that Rinnai will not be able to compete effectively.  </w:t>
      </w:r>
    </w:p>
    <w:p w14:paraId="635985FC" w14:textId="69474A52" w:rsidR="00E44878" w:rsidRPr="004E7FF0" w:rsidRDefault="00F31D51" w:rsidP="009D24D2">
      <w:pPr>
        <w:spacing w:after="240"/>
        <w:ind w:firstLine="720"/>
        <w:rPr>
          <w:bCs/>
          <w:szCs w:val="24"/>
        </w:rPr>
      </w:pPr>
      <w:r w:rsidRPr="004E7FF0">
        <w:rPr>
          <w:bCs/>
          <w:szCs w:val="24"/>
        </w:rPr>
        <w:t xml:space="preserve">In addition, smaller manufacturers </w:t>
      </w:r>
      <w:r w:rsidR="002E049E" w:rsidRPr="004E7FF0">
        <w:rPr>
          <w:bCs/>
          <w:szCs w:val="24"/>
        </w:rPr>
        <w:t xml:space="preserve">generally </w:t>
      </w:r>
      <w:r w:rsidRPr="004E7FF0">
        <w:rPr>
          <w:bCs/>
          <w:szCs w:val="24"/>
        </w:rPr>
        <w:t xml:space="preserve">are less able to bear the costs and burdens of a complicated regulatory scheme that requires buying credits or paying penalties, as well as imposing onerous and invasive reporting requirements needed to make such a system operative.  Rinnai has concerns with the information requested, which calls for individual customer names and what is normally considered proprietary and confidential trade secret information, and with the burden such reporting will impose.  </w:t>
      </w:r>
      <w:r w:rsidR="00163EC3" w:rsidRPr="004E7FF0">
        <w:rPr>
          <w:szCs w:val="24"/>
        </w:rPr>
        <w:t>CARB’s</w:t>
      </w:r>
      <w:r w:rsidR="00C5073E" w:rsidRPr="004E7FF0">
        <w:rPr>
          <w:szCs w:val="24"/>
        </w:rPr>
        <w:t xml:space="preserve"> scheme will require companies </w:t>
      </w:r>
      <w:r w:rsidR="0034494D" w:rsidRPr="004E7FF0">
        <w:rPr>
          <w:szCs w:val="24"/>
        </w:rPr>
        <w:t xml:space="preserve">to </w:t>
      </w:r>
      <w:r w:rsidR="00DF1EFD" w:rsidRPr="004E7FF0">
        <w:rPr>
          <w:szCs w:val="24"/>
        </w:rPr>
        <w:t xml:space="preserve">retool manufacturing processes, adjust supply chains, and meet phased-in sales targets </w:t>
      </w:r>
      <w:r w:rsidR="0034494D" w:rsidRPr="004E7FF0">
        <w:rPr>
          <w:szCs w:val="24"/>
        </w:rPr>
        <w:t xml:space="preserve">with accompanying </w:t>
      </w:r>
      <w:r w:rsidR="00DF1EFD" w:rsidRPr="004E7FF0">
        <w:rPr>
          <w:szCs w:val="24"/>
        </w:rPr>
        <w:t xml:space="preserve">compliance burdens (including reporting mandates) and </w:t>
      </w:r>
      <w:r w:rsidR="00163EC3" w:rsidRPr="004E7FF0">
        <w:rPr>
          <w:szCs w:val="24"/>
        </w:rPr>
        <w:t>will impose</w:t>
      </w:r>
      <w:r w:rsidR="00DF1EFD" w:rsidRPr="004E7FF0">
        <w:rPr>
          <w:szCs w:val="24"/>
        </w:rPr>
        <w:t xml:space="preserve"> costs that will ultimately be passed on to consumers, either partially or in total.  The need to modify manufacturing, sales and distribution is exacerbated by ongoing supply chain challenges, manufacturing and distribution infrastructure limitations, and the lack of technical feasibility.</w:t>
      </w:r>
      <w:r w:rsidR="0034494D" w:rsidRPr="004E7FF0">
        <w:rPr>
          <w:szCs w:val="24"/>
        </w:rPr>
        <w:t xml:space="preserve">  </w:t>
      </w:r>
      <w:r w:rsidR="00FF33B9" w:rsidRPr="004E7FF0">
        <w:rPr>
          <w:szCs w:val="24"/>
        </w:rPr>
        <w:t>And b</w:t>
      </w:r>
      <w:r w:rsidR="00FF33B9" w:rsidRPr="004E7FF0">
        <w:rPr>
          <w:szCs w:val="24"/>
        </w:rPr>
        <w:t xml:space="preserve">y </w:t>
      </w:r>
      <w:r w:rsidR="000F6936" w:rsidRPr="004E7FF0">
        <w:rPr>
          <w:szCs w:val="24"/>
        </w:rPr>
        <w:t>forcing a</w:t>
      </w:r>
      <w:r w:rsidR="00A74A5F" w:rsidRPr="004E7FF0">
        <w:rPr>
          <w:szCs w:val="24"/>
        </w:rPr>
        <w:t xml:space="preserve"> </w:t>
      </w:r>
      <w:r w:rsidR="00FF33B9" w:rsidRPr="004E7FF0">
        <w:rPr>
          <w:szCs w:val="24"/>
        </w:rPr>
        <w:t>transition to technologies that are not yet viable in all applications</w:t>
      </w:r>
      <w:r w:rsidR="00A74A5F" w:rsidRPr="004E7FF0">
        <w:rPr>
          <w:szCs w:val="24"/>
        </w:rPr>
        <w:t xml:space="preserve"> (</w:t>
      </w:r>
      <w:r w:rsidR="000F6936" w:rsidRPr="004E7FF0">
        <w:rPr>
          <w:szCs w:val="24"/>
        </w:rPr>
        <w:t>such as some</w:t>
      </w:r>
      <w:r w:rsidR="00A74A5F" w:rsidRPr="004E7FF0">
        <w:rPr>
          <w:szCs w:val="24"/>
        </w:rPr>
        <w:t xml:space="preserve"> existing buildings)</w:t>
      </w:r>
      <w:r w:rsidR="00FF33B9" w:rsidRPr="004E7FF0">
        <w:rPr>
          <w:szCs w:val="24"/>
        </w:rPr>
        <w:t xml:space="preserve">, the rules will </w:t>
      </w:r>
      <w:r w:rsidR="0048260C" w:rsidRPr="004E7FF0">
        <w:rPr>
          <w:szCs w:val="24"/>
        </w:rPr>
        <w:t>drive</w:t>
      </w:r>
      <w:r w:rsidR="00FF33B9" w:rsidRPr="004E7FF0">
        <w:rPr>
          <w:szCs w:val="24"/>
        </w:rPr>
        <w:t xml:space="preserve"> consumers into higher-cost and less practical options that could require expensive retrofits.</w:t>
      </w:r>
      <w:r w:rsidR="00FF33B9" w:rsidRPr="004E7FF0">
        <w:rPr>
          <w:szCs w:val="24"/>
        </w:rPr>
        <w:t xml:space="preserve">  </w:t>
      </w:r>
      <w:r w:rsidR="00DC1083" w:rsidRPr="004E7FF0">
        <w:rPr>
          <w:bCs/>
          <w:szCs w:val="24"/>
        </w:rPr>
        <w:t xml:space="preserve">In short, </w:t>
      </w:r>
      <w:r w:rsidR="003642A0" w:rsidRPr="004E7FF0">
        <w:rPr>
          <w:bCs/>
          <w:szCs w:val="24"/>
        </w:rPr>
        <w:t xml:space="preserve">CARB’s proposal </w:t>
      </w:r>
      <w:r w:rsidR="00B20B99" w:rsidRPr="004E7FF0">
        <w:rPr>
          <w:szCs w:val="24"/>
        </w:rPr>
        <w:t>presents substantial logistical and financial burdens for manufacturers</w:t>
      </w:r>
      <w:r w:rsidR="00E46C07" w:rsidRPr="004E7FF0">
        <w:rPr>
          <w:szCs w:val="24"/>
        </w:rPr>
        <w:t xml:space="preserve">, </w:t>
      </w:r>
      <w:r w:rsidR="003642A0" w:rsidRPr="004E7FF0">
        <w:rPr>
          <w:bCs/>
          <w:szCs w:val="24"/>
        </w:rPr>
        <w:t>favors certain market players over other</w:t>
      </w:r>
      <w:r w:rsidR="007516B6" w:rsidRPr="004E7FF0">
        <w:rPr>
          <w:bCs/>
          <w:szCs w:val="24"/>
        </w:rPr>
        <w:t>s</w:t>
      </w:r>
      <w:r w:rsidR="00E46C07" w:rsidRPr="004E7FF0">
        <w:rPr>
          <w:bCs/>
          <w:szCs w:val="24"/>
        </w:rPr>
        <w:t>,</w:t>
      </w:r>
      <w:r w:rsidR="007516B6" w:rsidRPr="004E7FF0">
        <w:rPr>
          <w:bCs/>
          <w:szCs w:val="24"/>
        </w:rPr>
        <w:t xml:space="preserve"> and may even drive smaller players like Rinnai out of the market</w:t>
      </w:r>
      <w:r w:rsidR="001A73FB" w:rsidRPr="004E7FF0">
        <w:rPr>
          <w:bCs/>
          <w:szCs w:val="24"/>
        </w:rPr>
        <w:t>—</w:t>
      </w:r>
      <w:r w:rsidR="007516B6" w:rsidRPr="004E7FF0">
        <w:rPr>
          <w:bCs/>
          <w:szCs w:val="24"/>
        </w:rPr>
        <w:t xml:space="preserve">lessening competition and </w:t>
      </w:r>
      <w:r w:rsidR="00893FB0" w:rsidRPr="004E7FF0">
        <w:rPr>
          <w:bCs/>
          <w:szCs w:val="24"/>
        </w:rPr>
        <w:t>harming</w:t>
      </w:r>
      <w:r w:rsidR="007516B6" w:rsidRPr="004E7FF0">
        <w:rPr>
          <w:bCs/>
          <w:szCs w:val="24"/>
        </w:rPr>
        <w:t xml:space="preserve"> consumers through </w:t>
      </w:r>
      <w:r w:rsidR="00893FB0" w:rsidRPr="004E7FF0">
        <w:rPr>
          <w:bCs/>
          <w:szCs w:val="24"/>
        </w:rPr>
        <w:t>decreased</w:t>
      </w:r>
      <w:r w:rsidR="007516B6" w:rsidRPr="004E7FF0">
        <w:rPr>
          <w:bCs/>
          <w:szCs w:val="24"/>
        </w:rPr>
        <w:t xml:space="preserve"> appliance choice and availability and</w:t>
      </w:r>
      <w:r w:rsidR="004F498F" w:rsidRPr="004E7FF0">
        <w:rPr>
          <w:bCs/>
          <w:szCs w:val="24"/>
        </w:rPr>
        <w:t xml:space="preserve"> through</w:t>
      </w:r>
      <w:r w:rsidR="007516B6" w:rsidRPr="004E7FF0">
        <w:rPr>
          <w:bCs/>
          <w:szCs w:val="24"/>
        </w:rPr>
        <w:t xml:space="preserve"> higher prices</w:t>
      </w:r>
      <w:r w:rsidR="004F498F" w:rsidRPr="004E7FF0">
        <w:rPr>
          <w:bCs/>
          <w:szCs w:val="24"/>
        </w:rPr>
        <w:t xml:space="preserve"> overall</w:t>
      </w:r>
      <w:r w:rsidR="007516B6" w:rsidRPr="004E7FF0">
        <w:rPr>
          <w:bCs/>
          <w:szCs w:val="24"/>
        </w:rPr>
        <w:t xml:space="preserve">. </w:t>
      </w:r>
    </w:p>
    <w:p w14:paraId="0AB8B698" w14:textId="26035E02" w:rsidR="001A761B" w:rsidRPr="004E7FF0" w:rsidRDefault="0069765C" w:rsidP="001A761B">
      <w:pPr>
        <w:spacing w:after="240"/>
        <w:ind w:firstLine="720"/>
        <w:rPr>
          <w:szCs w:val="24"/>
        </w:rPr>
      </w:pPr>
      <w:r w:rsidRPr="004E7FF0">
        <w:rPr>
          <w:bCs/>
          <w:szCs w:val="24"/>
        </w:rPr>
        <w:t>These types of burdens on manufacturers</w:t>
      </w:r>
      <w:r w:rsidR="009602D2" w:rsidRPr="004E7FF0">
        <w:rPr>
          <w:bCs/>
          <w:szCs w:val="24"/>
        </w:rPr>
        <w:t xml:space="preserve"> and </w:t>
      </w:r>
      <w:r w:rsidR="00DE2181" w:rsidRPr="004E7FF0">
        <w:rPr>
          <w:bCs/>
          <w:szCs w:val="24"/>
        </w:rPr>
        <w:t>limits</w:t>
      </w:r>
      <w:r w:rsidR="009602D2" w:rsidRPr="004E7FF0">
        <w:rPr>
          <w:bCs/>
          <w:szCs w:val="24"/>
        </w:rPr>
        <w:t xml:space="preserve"> on appliance availability and consumer choice </w:t>
      </w:r>
      <w:r w:rsidR="00DF4785" w:rsidRPr="004E7FF0">
        <w:rPr>
          <w:bCs/>
          <w:szCs w:val="24"/>
        </w:rPr>
        <w:t xml:space="preserve">were exactly what </w:t>
      </w:r>
      <w:r w:rsidR="00F71E0C" w:rsidRPr="004E7FF0">
        <w:rPr>
          <w:bCs/>
          <w:szCs w:val="24"/>
        </w:rPr>
        <w:t xml:space="preserve">Congress </w:t>
      </w:r>
      <w:r w:rsidR="00DF4785" w:rsidRPr="004E7FF0">
        <w:rPr>
          <w:bCs/>
          <w:szCs w:val="24"/>
        </w:rPr>
        <w:t xml:space="preserve">wanted to avoid in EPCA.  </w:t>
      </w:r>
      <w:r w:rsidR="00F71E0C" w:rsidRPr="004E7FF0">
        <w:rPr>
          <w:bCs/>
          <w:i/>
          <w:iCs/>
          <w:szCs w:val="24"/>
        </w:rPr>
        <w:t xml:space="preserve">See, e.g. </w:t>
      </w:r>
      <w:r w:rsidR="00F71E0C" w:rsidRPr="004E7FF0">
        <w:rPr>
          <w:bCs/>
          <w:szCs w:val="24"/>
        </w:rPr>
        <w:t xml:space="preserve">42 U.S.C. </w:t>
      </w:r>
      <w:r w:rsidR="00F71E0C" w:rsidRPr="004E7FF0">
        <w:rPr>
          <w:szCs w:val="24"/>
        </w:rPr>
        <w:t>§</w:t>
      </w:r>
      <w:bookmarkStart w:id="0" w:name="_BA_Cite_B7A781_000319"/>
      <w:bookmarkEnd w:id="0"/>
      <w:r w:rsidR="00F71E0C" w:rsidRPr="004E7FF0">
        <w:rPr>
          <w:szCs w:val="24"/>
        </w:rPr>
        <w:t>6295(o)(4) (</w:t>
      </w:r>
      <w:r w:rsidR="00DF4785" w:rsidRPr="004E7FF0">
        <w:rPr>
          <w:szCs w:val="24"/>
        </w:rPr>
        <w:t xml:space="preserve">the Department </w:t>
      </w:r>
      <w:r w:rsidR="00DE2181" w:rsidRPr="004E7FF0">
        <w:rPr>
          <w:szCs w:val="24"/>
        </w:rPr>
        <w:t xml:space="preserve">of Energy </w:t>
      </w:r>
      <w:r w:rsidR="00F71E0C" w:rsidRPr="004E7FF0">
        <w:rPr>
          <w:szCs w:val="24"/>
        </w:rPr>
        <w:t>cannot adopt a regulation that makes appliance characteristics unavailable</w:t>
      </w:r>
      <w:r w:rsidR="00DE2181" w:rsidRPr="004E7FF0">
        <w:rPr>
          <w:szCs w:val="24"/>
        </w:rPr>
        <w:t>)</w:t>
      </w:r>
      <w:r w:rsidR="00F71E0C" w:rsidRPr="004E7FF0">
        <w:rPr>
          <w:szCs w:val="24"/>
        </w:rPr>
        <w:t>, §6297(d</w:t>
      </w:r>
      <w:r w:rsidR="007A2A2E" w:rsidRPr="004E7FF0">
        <w:rPr>
          <w:szCs w:val="24"/>
        </w:rPr>
        <w:t xml:space="preserve">) </w:t>
      </w:r>
      <w:r w:rsidR="00F71E0C" w:rsidRPr="004E7FF0">
        <w:rPr>
          <w:szCs w:val="24"/>
        </w:rPr>
        <w:t>(</w:t>
      </w:r>
      <w:r w:rsidR="00DF4785" w:rsidRPr="004E7FF0">
        <w:rPr>
          <w:szCs w:val="24"/>
        </w:rPr>
        <w:t>the Department cannot waive</w:t>
      </w:r>
      <w:r w:rsidR="00F71E0C" w:rsidRPr="004E7FF0">
        <w:rPr>
          <w:szCs w:val="24"/>
        </w:rPr>
        <w:t xml:space="preserve"> preemption</w:t>
      </w:r>
      <w:r w:rsidR="00DF4785" w:rsidRPr="004E7FF0">
        <w:rPr>
          <w:szCs w:val="24"/>
        </w:rPr>
        <w:t xml:space="preserve"> for </w:t>
      </w:r>
      <w:r w:rsidR="00723226" w:rsidRPr="004E7FF0">
        <w:rPr>
          <w:szCs w:val="24"/>
        </w:rPr>
        <w:t xml:space="preserve">state </w:t>
      </w:r>
      <w:r w:rsidR="00DF4785" w:rsidRPr="004E7FF0">
        <w:rPr>
          <w:szCs w:val="24"/>
        </w:rPr>
        <w:t>regulations that</w:t>
      </w:r>
      <w:r w:rsidR="007A2A2E" w:rsidRPr="004E7FF0">
        <w:rPr>
          <w:szCs w:val="24"/>
        </w:rPr>
        <w:t>, among other things,</w:t>
      </w:r>
      <w:r w:rsidR="00DF4785" w:rsidRPr="004E7FF0">
        <w:rPr>
          <w:szCs w:val="24"/>
        </w:rPr>
        <w:t xml:space="preserve"> burden </w:t>
      </w:r>
      <w:r w:rsidR="00723226" w:rsidRPr="004E7FF0">
        <w:rPr>
          <w:szCs w:val="24"/>
        </w:rPr>
        <w:t xml:space="preserve">design, </w:t>
      </w:r>
      <w:r w:rsidR="00DF4785" w:rsidRPr="004E7FF0">
        <w:rPr>
          <w:szCs w:val="24"/>
        </w:rPr>
        <w:t xml:space="preserve">manufacturing, production, sales, or servicing of appliances </w:t>
      </w:r>
      <w:r w:rsidR="007A2A2E" w:rsidRPr="004E7FF0">
        <w:rPr>
          <w:szCs w:val="24"/>
        </w:rPr>
        <w:t xml:space="preserve">or make appliance </w:t>
      </w:r>
      <w:r w:rsidR="00714663" w:rsidRPr="004E7FF0">
        <w:rPr>
          <w:szCs w:val="24"/>
        </w:rPr>
        <w:t xml:space="preserve">performance characteristics or features </w:t>
      </w:r>
      <w:r w:rsidR="007A2A2E" w:rsidRPr="004E7FF0">
        <w:rPr>
          <w:szCs w:val="24"/>
        </w:rPr>
        <w:t>unavailable</w:t>
      </w:r>
      <w:r w:rsidR="00F71E0C" w:rsidRPr="004E7FF0">
        <w:rPr>
          <w:szCs w:val="24"/>
        </w:rPr>
        <w:t>).</w:t>
      </w:r>
      <w:r w:rsidR="00284266" w:rsidRPr="004E7FF0">
        <w:rPr>
          <w:szCs w:val="24"/>
        </w:rPr>
        <w:t xml:space="preserve">  I</w:t>
      </w:r>
      <w:r w:rsidR="00F76CA1" w:rsidRPr="004E7FF0">
        <w:rPr>
          <w:bCs/>
          <w:szCs w:val="24"/>
        </w:rPr>
        <w:t xml:space="preserve">f the proposed system works as CARB intends, </w:t>
      </w:r>
      <w:r w:rsidR="00530B0E" w:rsidRPr="004E7FF0">
        <w:rPr>
          <w:bCs/>
          <w:szCs w:val="24"/>
        </w:rPr>
        <w:t>it</w:t>
      </w:r>
      <w:r w:rsidR="00F71E0C" w:rsidRPr="004E7FF0">
        <w:rPr>
          <w:bCs/>
          <w:szCs w:val="24"/>
        </w:rPr>
        <w:t xml:space="preserve"> </w:t>
      </w:r>
      <w:r w:rsidR="008D21DA" w:rsidRPr="004E7FF0">
        <w:rPr>
          <w:bCs/>
          <w:szCs w:val="24"/>
        </w:rPr>
        <w:t xml:space="preserve">will function as </w:t>
      </w:r>
      <w:r w:rsidR="00F71E0C" w:rsidRPr="004E7FF0">
        <w:rPr>
          <w:bCs/>
          <w:szCs w:val="24"/>
        </w:rPr>
        <w:t xml:space="preserve">a </w:t>
      </w:r>
      <w:r w:rsidR="00530B0E" w:rsidRPr="004E7FF0">
        <w:rPr>
          <w:bCs/>
          <w:i/>
          <w:iCs/>
          <w:szCs w:val="24"/>
        </w:rPr>
        <w:t xml:space="preserve">de facto </w:t>
      </w:r>
      <w:r w:rsidR="008D21DA" w:rsidRPr="004E7FF0">
        <w:rPr>
          <w:bCs/>
          <w:szCs w:val="24"/>
        </w:rPr>
        <w:t xml:space="preserve">ban on sales of </w:t>
      </w:r>
      <w:r w:rsidR="00F71E0C" w:rsidRPr="004E7FF0">
        <w:rPr>
          <w:bCs/>
          <w:szCs w:val="24"/>
        </w:rPr>
        <w:t>gas appliance</w:t>
      </w:r>
      <w:r w:rsidR="008D21DA" w:rsidRPr="004E7FF0">
        <w:rPr>
          <w:bCs/>
          <w:szCs w:val="24"/>
        </w:rPr>
        <w:t>s above the limits</w:t>
      </w:r>
      <w:r w:rsidR="00530B0E" w:rsidRPr="004E7FF0">
        <w:rPr>
          <w:bCs/>
          <w:szCs w:val="24"/>
        </w:rPr>
        <w:t xml:space="preserve"> by making them </w:t>
      </w:r>
      <w:r w:rsidR="002D713A" w:rsidRPr="004E7FF0">
        <w:rPr>
          <w:bCs/>
          <w:szCs w:val="24"/>
        </w:rPr>
        <w:t>either unavailable or unaffordable</w:t>
      </w:r>
      <w:r w:rsidR="00284266" w:rsidRPr="004E7FF0">
        <w:rPr>
          <w:bCs/>
          <w:szCs w:val="24"/>
        </w:rPr>
        <w:t xml:space="preserve">, </w:t>
      </w:r>
      <w:r w:rsidR="00F71E0C" w:rsidRPr="004E7FF0">
        <w:rPr>
          <w:i/>
          <w:iCs/>
          <w:szCs w:val="24"/>
        </w:rPr>
        <w:t xml:space="preserve">Cal. Rest., </w:t>
      </w:r>
      <w:r w:rsidR="00F71E0C" w:rsidRPr="004E7FF0">
        <w:rPr>
          <w:szCs w:val="24"/>
        </w:rPr>
        <w:t>89 F.4</w:t>
      </w:r>
      <w:r w:rsidR="00F71E0C" w:rsidRPr="004E7FF0">
        <w:rPr>
          <w:szCs w:val="24"/>
          <w:vertAlign w:val="superscript"/>
        </w:rPr>
        <w:t>th</w:t>
      </w:r>
      <w:r w:rsidR="00F71E0C" w:rsidRPr="004E7FF0">
        <w:rPr>
          <w:szCs w:val="24"/>
        </w:rPr>
        <w:t xml:space="preserve"> at 1107 (cannot do indirectly what cannot be done directly)</w:t>
      </w:r>
      <w:r w:rsidR="00284266" w:rsidRPr="004E7FF0">
        <w:rPr>
          <w:szCs w:val="24"/>
        </w:rPr>
        <w:t>, undermining Congress’ objectives in EPCA</w:t>
      </w:r>
      <w:r w:rsidR="00F71E0C" w:rsidRPr="004E7FF0">
        <w:rPr>
          <w:szCs w:val="24"/>
        </w:rPr>
        <w:t xml:space="preserve">. </w:t>
      </w:r>
    </w:p>
    <w:p w14:paraId="0F5015BC" w14:textId="77777777" w:rsidR="00A77BC9" w:rsidRPr="004E7FF0" w:rsidRDefault="00775058" w:rsidP="00270B95">
      <w:pPr>
        <w:pStyle w:val="paragraph"/>
        <w:spacing w:before="0" w:beforeAutospacing="0" w:after="0" w:afterAutospacing="0" w:line="276" w:lineRule="auto"/>
        <w:ind w:right="-30" w:firstLine="720"/>
        <w:jc w:val="both"/>
      </w:pPr>
      <w:r w:rsidRPr="004E7FF0">
        <w:lastRenderedPageBreak/>
        <w:t xml:space="preserve">The South Coast AQMD </w:t>
      </w:r>
      <w:r w:rsidR="001C72BD" w:rsidRPr="004E7FF0">
        <w:t xml:space="preserve">recently </w:t>
      </w:r>
      <w:r w:rsidRPr="004E7FF0">
        <w:t xml:space="preserve">proposed a similar market-cap scheme for its </w:t>
      </w:r>
      <w:r w:rsidR="00C10C14" w:rsidRPr="004E7FF0">
        <w:t xml:space="preserve">Rule 1111 </w:t>
      </w:r>
      <w:r w:rsidR="00C10C14" w:rsidRPr="004E7FF0">
        <w:rPr>
          <w:i/>
          <w:iCs/>
        </w:rPr>
        <w:t xml:space="preserve">Reduction of NOx Emissions from Natural Gas-Fired, Fan-Type Central Furnaces </w:t>
      </w:r>
      <w:r w:rsidR="00C10C14" w:rsidRPr="004E7FF0">
        <w:t xml:space="preserve">and Rule 1121 </w:t>
      </w:r>
      <w:r w:rsidR="00C10C14" w:rsidRPr="004E7FF0">
        <w:rPr>
          <w:i/>
          <w:iCs/>
        </w:rPr>
        <w:t>Control of Nitrogen Oxides from Residential-Type, Natural Gas-Fired Water Heaters</w:t>
      </w:r>
      <w:r w:rsidRPr="004E7FF0">
        <w:t>, but after it received comments noting the legal and practical concerns</w:t>
      </w:r>
      <w:r w:rsidR="00B87045" w:rsidRPr="004E7FF0">
        <w:t xml:space="preserve"> (including affordability</w:t>
      </w:r>
      <w:r w:rsidR="00A20DF5" w:rsidRPr="004E7FF0">
        <w:t xml:space="preserve"> and burdens on manufacturing</w:t>
      </w:r>
      <w:r w:rsidR="00B87045" w:rsidRPr="004E7FF0">
        <w:t>)</w:t>
      </w:r>
      <w:r w:rsidRPr="004E7FF0">
        <w:t xml:space="preserve"> with such a proposal, it voted down the </w:t>
      </w:r>
      <w:r w:rsidR="001C72BD" w:rsidRPr="004E7FF0">
        <w:t xml:space="preserve">rule amendments.  </w:t>
      </w:r>
      <w:r w:rsidR="00F71E0C" w:rsidRPr="004E7FF0">
        <w:t xml:space="preserve">The U.S. Department of Justice </w:t>
      </w:r>
      <w:r w:rsidR="00C10C14" w:rsidRPr="004E7FF0">
        <w:t>submitted</w:t>
      </w:r>
      <w:r w:rsidR="00B87045" w:rsidRPr="004E7FF0">
        <w:t xml:space="preserve"> a </w:t>
      </w:r>
      <w:r w:rsidR="002E2DB6" w:rsidRPr="004E7FF0">
        <w:t xml:space="preserve">June 5, 2025 </w:t>
      </w:r>
      <w:r w:rsidR="00B87045" w:rsidRPr="004E7FF0">
        <w:t>letter in those proceedings</w:t>
      </w:r>
      <w:r w:rsidR="00F71E0C" w:rsidRPr="004E7FF0">
        <w:t xml:space="preserve"> stat</w:t>
      </w:r>
      <w:r w:rsidR="00EF4BE4" w:rsidRPr="004E7FF0">
        <w:t>ing</w:t>
      </w:r>
      <w:r w:rsidR="00F71E0C" w:rsidRPr="004E7FF0">
        <w:t xml:space="preserve"> that </w:t>
      </w:r>
      <w:r w:rsidR="002E2DB6" w:rsidRPr="004E7FF0">
        <w:t>the</w:t>
      </w:r>
      <w:r w:rsidR="00F71E0C" w:rsidRPr="004E7FF0">
        <w:t xml:space="preserve"> proposed amendments were preempted by EPCA and warn</w:t>
      </w:r>
      <w:r w:rsidR="006E3017" w:rsidRPr="004E7FF0">
        <w:t>ing</w:t>
      </w:r>
      <w:r w:rsidR="00F71E0C" w:rsidRPr="004E7FF0">
        <w:t xml:space="preserve"> that the Attorney General </w:t>
      </w:r>
      <w:r w:rsidR="006E3017" w:rsidRPr="004E7FF0">
        <w:t xml:space="preserve">might take action </w:t>
      </w:r>
      <w:r w:rsidR="00DD6276" w:rsidRPr="004E7FF0">
        <w:t xml:space="preserve">to prevent such laws from being enforced. </w:t>
      </w:r>
      <w:r w:rsidR="00F71E0C" w:rsidRPr="004E7FF0">
        <w:t xml:space="preserve"> </w:t>
      </w:r>
    </w:p>
    <w:p w14:paraId="5B621362" w14:textId="77777777" w:rsidR="00A77BC9" w:rsidRPr="004E7FF0" w:rsidRDefault="00A77BC9" w:rsidP="00270B95">
      <w:pPr>
        <w:pStyle w:val="paragraph"/>
        <w:spacing w:before="0" w:beforeAutospacing="0" w:after="0" w:afterAutospacing="0" w:line="276" w:lineRule="auto"/>
        <w:ind w:right="-30" w:firstLine="720"/>
        <w:jc w:val="both"/>
      </w:pPr>
    </w:p>
    <w:p w14:paraId="080CB989" w14:textId="40BC64CC" w:rsidR="00725825" w:rsidRPr="004E7FF0" w:rsidRDefault="00290432" w:rsidP="005A3349">
      <w:pPr>
        <w:pStyle w:val="paragraph"/>
        <w:spacing w:before="0" w:beforeAutospacing="0" w:after="0" w:afterAutospacing="0" w:line="276" w:lineRule="auto"/>
        <w:ind w:right="-30" w:firstLine="720"/>
        <w:jc w:val="both"/>
      </w:pPr>
      <w:r w:rsidRPr="004E7FF0">
        <w:t xml:space="preserve">Because </w:t>
      </w:r>
      <w:r w:rsidR="00F71E0C" w:rsidRPr="004E7FF0">
        <w:t>CARB’s proposed sales limit</w:t>
      </w:r>
      <w:r w:rsidRPr="004E7FF0">
        <w:t xml:space="preserve"> sy</w:t>
      </w:r>
      <w:r w:rsidR="00270B95" w:rsidRPr="004E7FF0">
        <w:t>s</w:t>
      </w:r>
      <w:r w:rsidRPr="004E7FF0">
        <w:t>tem</w:t>
      </w:r>
      <w:r w:rsidR="00F71E0C" w:rsidRPr="004E7FF0">
        <w:t xml:space="preserve"> raises the same concerns</w:t>
      </w:r>
      <w:r w:rsidRPr="004E7FF0">
        <w:t xml:space="preserve">, </w:t>
      </w:r>
      <w:r w:rsidR="00270B95" w:rsidRPr="004E7FF0">
        <w:t xml:space="preserve">it </w:t>
      </w:r>
      <w:r w:rsidR="00F71E0C" w:rsidRPr="004E7FF0">
        <w:t>could face similar legal challenges.</w:t>
      </w:r>
      <w:r w:rsidR="00A77BC9" w:rsidRPr="004E7FF0">
        <w:t xml:space="preserve">  And </w:t>
      </w:r>
      <w:r w:rsidR="00EB038B" w:rsidRPr="004E7FF0">
        <w:t xml:space="preserve">particularly </w:t>
      </w:r>
      <w:r w:rsidR="009D24D2" w:rsidRPr="004E7FF0">
        <w:t xml:space="preserve">in light of </w:t>
      </w:r>
      <w:r w:rsidR="00A77BC9" w:rsidRPr="004E7FF0">
        <w:t xml:space="preserve">the recent </w:t>
      </w:r>
      <w:r w:rsidR="009D24D2" w:rsidRPr="004E7FF0">
        <w:t xml:space="preserve">tragic and devastating wildfires, </w:t>
      </w:r>
      <w:r w:rsidR="00C323B1" w:rsidRPr="004E7FF0">
        <w:t xml:space="preserve">concerns with </w:t>
      </w:r>
      <w:r w:rsidR="000B1061" w:rsidRPr="004E7FF0">
        <w:t xml:space="preserve">housing </w:t>
      </w:r>
      <w:r w:rsidR="00C323B1" w:rsidRPr="004E7FF0">
        <w:t>affordability</w:t>
      </w:r>
      <w:r w:rsidR="009D24D2" w:rsidRPr="004E7FF0">
        <w:t xml:space="preserve">, and </w:t>
      </w:r>
      <w:r w:rsidR="00402195" w:rsidRPr="004E7FF0">
        <w:t xml:space="preserve">the impacts of inflation and </w:t>
      </w:r>
      <w:r w:rsidR="009D24D2" w:rsidRPr="004E7FF0">
        <w:t>trade tariffs</w:t>
      </w:r>
      <w:r w:rsidR="00EB038B" w:rsidRPr="004E7FF0">
        <w:t xml:space="preserve">, CARB </w:t>
      </w:r>
      <w:r w:rsidR="009D24D2" w:rsidRPr="004E7FF0">
        <w:t xml:space="preserve">should be especially mindful of the financial burden on </w:t>
      </w:r>
      <w:r w:rsidR="006D0A74" w:rsidRPr="004E7FF0">
        <w:t>Californians</w:t>
      </w:r>
      <w:r w:rsidR="009D24D2" w:rsidRPr="004E7FF0">
        <w:t xml:space="preserve">. </w:t>
      </w:r>
      <w:r w:rsidR="000B1061" w:rsidRPr="004E7FF0">
        <w:t xml:space="preserve"> </w:t>
      </w:r>
      <w:r w:rsidR="00CE5BD8" w:rsidRPr="004E7FF0">
        <w:t xml:space="preserve">We appreciate </w:t>
      </w:r>
      <w:r w:rsidR="000B1061" w:rsidRPr="004E7FF0">
        <w:t>CARB’s</w:t>
      </w:r>
      <w:r w:rsidR="00CE5BD8" w:rsidRPr="004E7FF0">
        <w:t xml:space="preserve"> efforts to develop an alternative approach to </w:t>
      </w:r>
      <w:r w:rsidR="000B1061" w:rsidRPr="004E7FF0">
        <w:t>its zero-emissions rulemaking</w:t>
      </w:r>
      <w:r w:rsidR="00822502" w:rsidRPr="004E7FF0">
        <w:t>, but in l</w:t>
      </w:r>
      <w:r w:rsidR="00270B95" w:rsidRPr="004E7FF0">
        <w:t>ight of the legal concerns</w:t>
      </w:r>
      <w:r w:rsidR="0010132B" w:rsidRPr="004E7FF0">
        <w:t>, harm to consumers, and</w:t>
      </w:r>
      <w:r w:rsidR="00270B95" w:rsidRPr="004E7FF0">
        <w:t xml:space="preserve"> burdens on smaller </w:t>
      </w:r>
      <w:r w:rsidR="00725825" w:rsidRPr="004E7FF0">
        <w:t>companies</w:t>
      </w:r>
      <w:r w:rsidR="00270B95" w:rsidRPr="004E7FF0">
        <w:t>, Rinnai requests that CARB reconsider its approach</w:t>
      </w:r>
      <w:r w:rsidR="00935EF8" w:rsidRPr="004E7FF0">
        <w:t>.  CARB should</w:t>
      </w:r>
      <w:r w:rsidR="00270B95" w:rsidRPr="004E7FF0">
        <w:t xml:space="preserve"> instead </w:t>
      </w:r>
      <w:r w:rsidR="00935EF8" w:rsidRPr="004E7FF0">
        <w:t>develop</w:t>
      </w:r>
      <w:r w:rsidR="00467A3E" w:rsidRPr="004E7FF0">
        <w:t xml:space="preserve"> fuel-neutral measures that </w:t>
      </w:r>
      <w:r w:rsidR="00786C61" w:rsidRPr="004E7FF0">
        <w:t>incentivize</w:t>
      </w:r>
      <w:r w:rsidR="00467A3E" w:rsidRPr="004E7FF0">
        <w:t xml:space="preserve"> efficiency and reduced emissions and that </w:t>
      </w:r>
      <w:r w:rsidR="00E25681" w:rsidRPr="004E7FF0">
        <w:t>employ a system of</w:t>
      </w:r>
      <w:r w:rsidR="005D5FB7" w:rsidRPr="004E7FF0">
        <w:t xml:space="preserve"> credits for overall emissions reductions</w:t>
      </w:r>
      <w:r w:rsidR="00962612" w:rsidRPr="004E7FF0">
        <w:t>.</w:t>
      </w:r>
    </w:p>
    <w:p w14:paraId="5A7BB20D" w14:textId="4E4D56EE" w:rsidR="00B25038" w:rsidRPr="004E7FF0" w:rsidRDefault="00B25038" w:rsidP="00725825">
      <w:pPr>
        <w:pStyle w:val="paragraph"/>
        <w:spacing w:before="0" w:beforeAutospacing="0" w:after="0" w:afterAutospacing="0" w:line="276" w:lineRule="auto"/>
        <w:ind w:right="-30" w:firstLine="720"/>
        <w:jc w:val="both"/>
      </w:pPr>
      <w:r w:rsidRPr="004E7FF0">
        <w:t xml:space="preserve">  </w:t>
      </w:r>
    </w:p>
    <w:p w14:paraId="3F6BF90C" w14:textId="19A487A8" w:rsidR="00862BB7" w:rsidRPr="004E7FF0" w:rsidRDefault="00B25038" w:rsidP="00B25038">
      <w:pPr>
        <w:spacing w:after="240"/>
        <w:ind w:firstLine="720"/>
        <w:rPr>
          <w:szCs w:val="24"/>
        </w:rPr>
      </w:pPr>
      <w:r w:rsidRPr="004E7FF0">
        <w:rPr>
          <w:noProof/>
          <w:szCs w:val="24"/>
        </w:rPr>
        <w:drawing>
          <wp:anchor distT="0" distB="0" distL="114300" distR="114300" simplePos="0" relativeHeight="251658240" behindDoc="1" locked="0" layoutInCell="1" allowOverlap="1" wp14:anchorId="01A60F54" wp14:editId="5282E841">
            <wp:simplePos x="0" y="0"/>
            <wp:positionH relativeFrom="column">
              <wp:posOffset>464820</wp:posOffset>
            </wp:positionH>
            <wp:positionV relativeFrom="paragraph">
              <wp:posOffset>173990</wp:posOffset>
            </wp:positionV>
            <wp:extent cx="14351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7FF0">
        <w:rPr>
          <w:szCs w:val="24"/>
        </w:rPr>
        <w:t xml:space="preserve">Sincerely, </w:t>
      </w:r>
      <w:r w:rsidR="00862BB7" w:rsidRPr="004E7FF0">
        <w:rPr>
          <w:szCs w:val="24"/>
        </w:rPr>
        <w:t xml:space="preserve">                                                                                              </w:t>
      </w:r>
    </w:p>
    <w:p w14:paraId="5A57C14F" w14:textId="7F3C6B9F" w:rsidR="00B25038" w:rsidRPr="004E7FF0" w:rsidRDefault="00B25038" w:rsidP="00B25038">
      <w:pPr>
        <w:ind w:left="720"/>
        <w:rPr>
          <w:szCs w:val="24"/>
        </w:rPr>
      </w:pPr>
    </w:p>
    <w:p w14:paraId="06787A01" w14:textId="77777777" w:rsidR="00B25038" w:rsidRPr="004E7FF0" w:rsidRDefault="00B25038" w:rsidP="00B25038">
      <w:pPr>
        <w:ind w:left="720"/>
        <w:rPr>
          <w:szCs w:val="24"/>
        </w:rPr>
      </w:pPr>
    </w:p>
    <w:p w14:paraId="2C3E0579" w14:textId="02DD7FB2" w:rsidR="00862BB7" w:rsidRPr="004E7FF0" w:rsidRDefault="00862BB7" w:rsidP="00B25038">
      <w:pPr>
        <w:ind w:left="720"/>
        <w:rPr>
          <w:szCs w:val="24"/>
        </w:rPr>
      </w:pPr>
      <w:r w:rsidRPr="004E7FF0">
        <w:rPr>
          <w:szCs w:val="24"/>
        </w:rPr>
        <w:t>Perry McGuire, Esq.</w:t>
      </w:r>
    </w:p>
    <w:p w14:paraId="6264AAB4" w14:textId="77777777" w:rsidR="00862BB7" w:rsidRPr="004E7FF0" w:rsidRDefault="00862BB7" w:rsidP="00B25038">
      <w:pPr>
        <w:ind w:left="720"/>
        <w:rPr>
          <w:szCs w:val="24"/>
        </w:rPr>
      </w:pPr>
      <w:r w:rsidRPr="004E7FF0">
        <w:rPr>
          <w:szCs w:val="24"/>
        </w:rPr>
        <w:t>Vice President &amp; General Counsel</w:t>
      </w:r>
    </w:p>
    <w:p w14:paraId="4AF59AA0" w14:textId="77777777" w:rsidR="00862BB7" w:rsidRPr="004E7FF0" w:rsidRDefault="00862BB7" w:rsidP="00B25038">
      <w:pPr>
        <w:ind w:left="720"/>
        <w:rPr>
          <w:szCs w:val="24"/>
        </w:rPr>
      </w:pPr>
      <w:r w:rsidRPr="004E7FF0">
        <w:rPr>
          <w:szCs w:val="24"/>
        </w:rPr>
        <w:t>Rinnai America Corporation</w:t>
      </w:r>
    </w:p>
    <w:p w14:paraId="13388F8F" w14:textId="77777777" w:rsidR="004B06FD" w:rsidRPr="004E7FF0" w:rsidRDefault="004B06FD">
      <w:pPr>
        <w:jc w:val="left"/>
        <w:rPr>
          <w:szCs w:val="24"/>
        </w:rPr>
      </w:pPr>
    </w:p>
    <w:p w14:paraId="36A066F4" w14:textId="6988B112" w:rsidR="00DE1C75" w:rsidRPr="004E7FF0" w:rsidRDefault="00DE1C75" w:rsidP="009A3FD2">
      <w:pPr>
        <w:jc w:val="left"/>
        <w:rPr>
          <w:szCs w:val="24"/>
        </w:rPr>
      </w:pPr>
    </w:p>
    <w:sectPr w:rsidR="00DE1C75" w:rsidRPr="004E7FF0" w:rsidSect="009C6976">
      <w:headerReference w:type="default" r:id="rId11"/>
      <w:footerReference w:type="default" r:id="rId12"/>
      <w:headerReference w:type="first" r:id="rId13"/>
      <w:footerReference w:type="first" r:id="rId14"/>
      <w:type w:val="continuous"/>
      <w:pgSz w:w="12240" w:h="15840" w:code="1"/>
      <w:pgMar w:top="1958" w:right="1440" w:bottom="245"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074E" w14:textId="77777777" w:rsidR="0073475D" w:rsidRDefault="0073475D">
      <w:r>
        <w:separator/>
      </w:r>
    </w:p>
  </w:endnote>
  <w:endnote w:type="continuationSeparator" w:id="0">
    <w:p w14:paraId="4D07CA5E" w14:textId="77777777" w:rsidR="0073475D" w:rsidRDefault="00734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8955" w14:textId="77777777" w:rsidR="00B25038" w:rsidRDefault="00B25038" w:rsidP="00B25038">
    <w:pPr>
      <w:pStyle w:val="Footer"/>
      <w:tabs>
        <w:tab w:val="clear" w:pos="4320"/>
        <w:tab w:val="clear" w:pos="8640"/>
      </w:tabs>
      <w:jc w:val="center"/>
      <w:rPr>
        <w:rFonts w:ascii="Arial" w:hAnsi="Arial" w:cs="Arial"/>
        <w:sz w:val="18"/>
        <w:szCs w:val="18"/>
      </w:rPr>
    </w:pPr>
  </w:p>
  <w:p w14:paraId="458E62F6" w14:textId="77777777" w:rsidR="00B25038" w:rsidRDefault="00B25038" w:rsidP="00B25038">
    <w:pPr>
      <w:pStyle w:val="Footer"/>
      <w:tabs>
        <w:tab w:val="clear" w:pos="4320"/>
        <w:tab w:val="clear" w:pos="8640"/>
      </w:tabs>
      <w:jc w:val="center"/>
      <w:rPr>
        <w:rFonts w:ascii="Arial" w:hAnsi="Arial" w:cs="Arial"/>
        <w:sz w:val="18"/>
        <w:szCs w:val="18"/>
      </w:rPr>
    </w:pPr>
  </w:p>
  <w:p w14:paraId="0608038C" w14:textId="4D6F654F" w:rsidR="00B25038" w:rsidRPr="00233A97" w:rsidRDefault="00B25038" w:rsidP="00B25038">
    <w:pPr>
      <w:pStyle w:val="Footer"/>
      <w:tabs>
        <w:tab w:val="clear" w:pos="4320"/>
        <w:tab w:val="clear" w:pos="8640"/>
      </w:tabs>
      <w:jc w:val="center"/>
      <w:rPr>
        <w:rFonts w:ascii="Geneva" w:hAnsi="Geneva"/>
        <w:sz w:val="12"/>
        <w:szCs w:val="18"/>
      </w:rPr>
    </w:pPr>
    <w:r w:rsidRPr="00B14191">
      <w:rPr>
        <w:rFonts w:ascii="Arial" w:hAnsi="Arial" w:cs="Arial"/>
        <w:sz w:val="18"/>
        <w:szCs w:val="18"/>
      </w:rPr>
      <w:t xml:space="preserve">Rinnai America Corporation </w:t>
    </w:r>
    <w:r w:rsidRPr="00B14191">
      <w:rPr>
        <w:rFonts w:ascii="Arial" w:eastAsiaTheme="minorHAnsi" w:hAnsi="Arial" w:cs="Arial"/>
        <w:sz w:val="18"/>
        <w:szCs w:val="18"/>
      </w:rPr>
      <w:t xml:space="preserve">| </w:t>
    </w:r>
    <w:r w:rsidRPr="00B14191">
      <w:rPr>
        <w:rFonts w:ascii="Arial" w:hAnsi="Arial" w:cs="Arial"/>
        <w:sz w:val="18"/>
        <w:szCs w:val="18"/>
      </w:rPr>
      <w:t xml:space="preserve">103 International Drive, Peachtree City, GA 30269 </w:t>
    </w:r>
    <w:r w:rsidRPr="00B14191">
      <w:rPr>
        <w:rFonts w:ascii="Arial" w:eastAsiaTheme="minorHAnsi" w:hAnsi="Arial" w:cs="Arial"/>
        <w:sz w:val="18"/>
        <w:szCs w:val="18"/>
      </w:rPr>
      <w:t>|</w:t>
    </w:r>
    <w:r w:rsidRPr="00B14191">
      <w:rPr>
        <w:rFonts w:ascii="Arial" w:hAnsi="Arial" w:cs="Arial"/>
        <w:sz w:val="18"/>
        <w:szCs w:val="18"/>
      </w:rPr>
      <w:t xml:space="preserve"> rinnai.us | rinnai.ca | 1-800-621-9419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4131" w14:textId="77777777" w:rsidR="00233A97" w:rsidRDefault="00233A97" w:rsidP="00233A97">
    <w:pPr>
      <w:pStyle w:val="Footer"/>
      <w:tabs>
        <w:tab w:val="clear" w:pos="4320"/>
        <w:tab w:val="clear" w:pos="8640"/>
      </w:tabs>
      <w:jc w:val="center"/>
      <w:rPr>
        <w:rFonts w:ascii="Arial" w:hAnsi="Arial" w:cs="Arial"/>
        <w:sz w:val="18"/>
        <w:szCs w:val="18"/>
      </w:rPr>
    </w:pPr>
  </w:p>
  <w:p w14:paraId="024A256A" w14:textId="77777777" w:rsidR="00233A97" w:rsidRDefault="00233A97" w:rsidP="00233A97">
    <w:pPr>
      <w:pStyle w:val="Footer"/>
      <w:tabs>
        <w:tab w:val="clear" w:pos="4320"/>
        <w:tab w:val="clear" w:pos="8640"/>
      </w:tabs>
      <w:jc w:val="center"/>
      <w:rPr>
        <w:rFonts w:ascii="Arial" w:hAnsi="Arial" w:cs="Arial"/>
        <w:sz w:val="18"/>
        <w:szCs w:val="18"/>
      </w:rPr>
    </w:pPr>
  </w:p>
  <w:p w14:paraId="3679E917" w14:textId="7EBBB636" w:rsidR="00EA47D9" w:rsidRPr="00233A97" w:rsidRDefault="00233A97" w:rsidP="00233A97">
    <w:pPr>
      <w:pStyle w:val="Footer"/>
      <w:tabs>
        <w:tab w:val="clear" w:pos="4320"/>
        <w:tab w:val="clear" w:pos="8640"/>
      </w:tabs>
      <w:jc w:val="center"/>
      <w:rPr>
        <w:rFonts w:ascii="Geneva" w:hAnsi="Geneva"/>
        <w:sz w:val="12"/>
        <w:szCs w:val="18"/>
      </w:rPr>
    </w:pPr>
    <w:r w:rsidRPr="00B14191">
      <w:rPr>
        <w:rFonts w:ascii="Arial" w:hAnsi="Arial" w:cs="Arial"/>
        <w:sz w:val="18"/>
        <w:szCs w:val="18"/>
      </w:rPr>
      <w:t xml:space="preserve">Rinnai America Corporation </w:t>
    </w:r>
    <w:r w:rsidRPr="00B14191">
      <w:rPr>
        <w:rFonts w:ascii="Arial" w:eastAsiaTheme="minorHAnsi" w:hAnsi="Arial" w:cs="Arial"/>
        <w:sz w:val="18"/>
        <w:szCs w:val="18"/>
      </w:rPr>
      <w:t xml:space="preserve">| </w:t>
    </w:r>
    <w:r w:rsidRPr="00B14191">
      <w:rPr>
        <w:rFonts w:ascii="Arial" w:hAnsi="Arial" w:cs="Arial"/>
        <w:sz w:val="18"/>
        <w:szCs w:val="18"/>
      </w:rPr>
      <w:t xml:space="preserve">103 International Drive, Peachtree City, GA 30269 </w:t>
    </w:r>
    <w:r w:rsidRPr="00B14191">
      <w:rPr>
        <w:rFonts w:ascii="Arial" w:eastAsiaTheme="minorHAnsi" w:hAnsi="Arial" w:cs="Arial"/>
        <w:sz w:val="18"/>
        <w:szCs w:val="18"/>
      </w:rPr>
      <w:t>|</w:t>
    </w:r>
    <w:r w:rsidRPr="00B14191">
      <w:rPr>
        <w:rFonts w:ascii="Arial" w:hAnsi="Arial" w:cs="Arial"/>
        <w:sz w:val="18"/>
        <w:szCs w:val="18"/>
      </w:rPr>
      <w:t xml:space="preserve"> rinnai.us | rinnai.ca | 1-800-621-9419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CE6D" w14:textId="77777777" w:rsidR="0073475D" w:rsidRDefault="0073475D">
      <w:r>
        <w:separator/>
      </w:r>
    </w:p>
  </w:footnote>
  <w:footnote w:type="continuationSeparator" w:id="0">
    <w:p w14:paraId="32659E0E" w14:textId="77777777" w:rsidR="0073475D" w:rsidRDefault="00734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0141" w14:textId="77777777" w:rsidR="00B25038" w:rsidRPr="00B25038" w:rsidRDefault="00B25038" w:rsidP="009D1ACF">
    <w:pPr>
      <w:pStyle w:val="Header"/>
      <w:rPr>
        <w:sz w:val="20"/>
        <w:szCs w:val="16"/>
      </w:rPr>
    </w:pPr>
    <w:r w:rsidRPr="00B25038">
      <w:rPr>
        <w:sz w:val="20"/>
        <w:szCs w:val="16"/>
      </w:rPr>
      <w:t xml:space="preserve">California Air Resources Board  </w:t>
    </w:r>
  </w:p>
  <w:p w14:paraId="17A0B3CE" w14:textId="1FDDAA2E" w:rsidR="009D1ACF" w:rsidRPr="00B25038" w:rsidRDefault="00962612" w:rsidP="009D1ACF">
    <w:pPr>
      <w:pStyle w:val="Header"/>
      <w:rPr>
        <w:sz w:val="20"/>
        <w:szCs w:val="16"/>
      </w:rPr>
    </w:pPr>
    <w:r>
      <w:rPr>
        <w:sz w:val="20"/>
        <w:szCs w:val="16"/>
      </w:rPr>
      <w:t>January 21, 2026</w:t>
    </w:r>
  </w:p>
  <w:p w14:paraId="0B1E94BF" w14:textId="77777777" w:rsidR="009D1ACF" w:rsidRPr="00B25038" w:rsidRDefault="009D1ACF" w:rsidP="009D1ACF">
    <w:pPr>
      <w:pStyle w:val="Header"/>
      <w:rPr>
        <w:sz w:val="20"/>
        <w:szCs w:val="16"/>
      </w:rPr>
    </w:pPr>
    <w:r w:rsidRPr="00B25038">
      <w:rPr>
        <w:sz w:val="20"/>
        <w:szCs w:val="16"/>
      </w:rPr>
      <w:t xml:space="preserve">Page </w:t>
    </w:r>
    <w:r w:rsidRPr="00B25038">
      <w:rPr>
        <w:sz w:val="20"/>
        <w:szCs w:val="16"/>
      </w:rPr>
      <w:fldChar w:fldCharType="begin"/>
    </w:r>
    <w:r w:rsidRPr="00B25038">
      <w:rPr>
        <w:sz w:val="20"/>
        <w:szCs w:val="16"/>
      </w:rPr>
      <w:instrText xml:space="preserve"> PAGE  \* Arabic  \* MERGEFORMAT </w:instrText>
    </w:r>
    <w:r w:rsidRPr="00B25038">
      <w:rPr>
        <w:sz w:val="20"/>
        <w:szCs w:val="16"/>
      </w:rPr>
      <w:fldChar w:fldCharType="separate"/>
    </w:r>
    <w:r w:rsidRPr="00B25038">
      <w:rPr>
        <w:sz w:val="20"/>
        <w:szCs w:val="16"/>
      </w:rPr>
      <w:t>2</w:t>
    </w:r>
    <w:r w:rsidRPr="00B25038">
      <w:rPr>
        <w:sz w:val="20"/>
        <w:szCs w:val="16"/>
      </w:rPr>
      <w:fldChar w:fldCharType="end"/>
    </w:r>
    <w:r w:rsidRPr="00B25038">
      <w:rPr>
        <w:sz w:val="20"/>
        <w:szCs w:val="16"/>
      </w:rPr>
      <w:t xml:space="preserve"> of </w:t>
    </w:r>
    <w:r w:rsidRPr="00B25038">
      <w:rPr>
        <w:sz w:val="20"/>
        <w:szCs w:val="16"/>
      </w:rPr>
      <w:fldChar w:fldCharType="begin"/>
    </w:r>
    <w:r w:rsidRPr="00B25038">
      <w:rPr>
        <w:sz w:val="20"/>
        <w:szCs w:val="16"/>
      </w:rPr>
      <w:instrText xml:space="preserve"> NUMPAGES  \* Arabic  \* MERGEFORMAT </w:instrText>
    </w:r>
    <w:r w:rsidRPr="00B25038">
      <w:rPr>
        <w:sz w:val="20"/>
        <w:szCs w:val="16"/>
      </w:rPr>
      <w:fldChar w:fldCharType="separate"/>
    </w:r>
    <w:r w:rsidRPr="00B25038">
      <w:rPr>
        <w:sz w:val="20"/>
        <w:szCs w:val="16"/>
      </w:rPr>
      <w:t>2</w:t>
    </w:r>
    <w:r w:rsidRPr="00B25038">
      <w:rPr>
        <w:sz w:val="20"/>
        <w:szCs w:val="16"/>
      </w:rPr>
      <w:fldChar w:fldCharType="end"/>
    </w:r>
  </w:p>
  <w:p w14:paraId="3679E90D" w14:textId="7100D36E" w:rsidR="00EA47D9" w:rsidRPr="009D1ACF" w:rsidRDefault="00EA47D9" w:rsidP="009D1A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E916" w14:textId="649239B8" w:rsidR="00EA47D9" w:rsidRPr="00D93867" w:rsidRDefault="00FC047B" w:rsidP="009C6976">
    <w:pPr>
      <w:pStyle w:val="Header"/>
      <w:tabs>
        <w:tab w:val="left" w:pos="7380"/>
        <w:tab w:val="left" w:pos="7740"/>
        <w:tab w:val="right" w:pos="11070"/>
      </w:tabs>
      <w:ind w:left="-180"/>
      <w:rPr>
        <w:rFonts w:ascii="Geneva" w:hAnsi="Geneva"/>
        <w:sz w:val="18"/>
      </w:rPr>
    </w:pPr>
    <w:r>
      <w:rPr>
        <w:noProof/>
      </w:rPr>
      <w:drawing>
        <wp:anchor distT="0" distB="0" distL="114300" distR="114300" simplePos="0" relativeHeight="251660288" behindDoc="0" locked="0" layoutInCell="1" allowOverlap="1" wp14:anchorId="58BD4739" wp14:editId="42D657E1">
          <wp:simplePos x="0" y="0"/>
          <wp:positionH relativeFrom="column">
            <wp:posOffset>-115261</wp:posOffset>
          </wp:positionH>
          <wp:positionV relativeFrom="paragraph">
            <wp:posOffset>3842</wp:posOffset>
          </wp:positionV>
          <wp:extent cx="1483360" cy="563880"/>
          <wp:effectExtent l="0" t="0" r="2540" b="7620"/>
          <wp:wrapNone/>
          <wp:docPr id="4" name="Picture 4" descr="C:\Users\nvogel\OneDrive - Rinnai\Branding\Rinnai_R_Logo_Red.jpg"/>
          <wp:cNvGraphicFramePr/>
          <a:graphic xmlns:a="http://schemas.openxmlformats.org/drawingml/2006/main">
            <a:graphicData uri="http://schemas.openxmlformats.org/drawingml/2006/picture">
              <pic:pic xmlns:pic="http://schemas.openxmlformats.org/drawingml/2006/picture">
                <pic:nvPicPr>
                  <pic:cNvPr id="4" name="Picture 4" descr="C:\Users\nvogel\OneDrive - Rinnai\Branding\Rinnai_R_Logo_Red.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563880"/>
                  </a:xfrm>
                  <a:prstGeom prst="rect">
                    <a:avLst/>
                  </a:prstGeom>
                  <a:noFill/>
                  <a:ln>
                    <a:noFill/>
                  </a:ln>
                </pic:spPr>
              </pic:pic>
            </a:graphicData>
          </a:graphic>
        </wp:anchor>
      </w:drawing>
    </w:r>
    <w:r w:rsidR="009C6976" w:rsidRPr="009C6976">
      <w:rPr>
        <w:rFonts w:ascii="Arial" w:hAnsi="Arial" w:cs="Arial"/>
        <w:noProof/>
        <w:sz w:val="20"/>
      </w:rPr>
      <mc:AlternateContent>
        <mc:Choice Requires="wps">
          <w:drawing>
            <wp:anchor distT="45720" distB="45720" distL="114300" distR="114300" simplePos="0" relativeHeight="251659264" behindDoc="0" locked="0" layoutInCell="1" allowOverlap="1" wp14:anchorId="15069D0C" wp14:editId="412E5533">
              <wp:simplePos x="0" y="0"/>
              <wp:positionH relativeFrom="margin">
                <wp:align>right</wp:align>
              </wp:positionH>
              <wp:positionV relativeFrom="paragraph">
                <wp:posOffset>8698</wp:posOffset>
              </wp:positionV>
              <wp:extent cx="1849755" cy="7296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729615"/>
                      </a:xfrm>
                      <a:prstGeom prst="rect">
                        <a:avLst/>
                      </a:prstGeom>
                      <a:solidFill>
                        <a:srgbClr val="FFFFFF"/>
                      </a:solidFill>
                      <a:ln w="9525">
                        <a:noFill/>
                        <a:miter lim="800000"/>
                        <a:headEnd/>
                        <a:tailEnd/>
                      </a:ln>
                    </wps:spPr>
                    <wps:txbx>
                      <w:txbxContent>
                        <w:p w14:paraId="1ED8A789" w14:textId="789FE8DD"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Perry McGuire</w:t>
                          </w:r>
                        </w:p>
                        <w:p w14:paraId="592668CA" w14:textId="6BAE4F0F"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Vice President &amp; General Counsel</w:t>
                          </w:r>
                        </w:p>
                        <w:p w14:paraId="4BAA24EF" w14:textId="77777777"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(770) 632-4326</w:t>
                          </w:r>
                        </w:p>
                        <w:p w14:paraId="1918C02F" w14:textId="0BCCD23D"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pmcguire@rinnai.us</w:t>
                          </w:r>
                        </w:p>
                        <w:p w14:paraId="6BCD445A" w14:textId="6D3D3014" w:rsidR="009C6976" w:rsidRDefault="009C69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69D0C" id="_x0000_t202" coordsize="21600,21600" o:spt="202" path="m,l,21600r21600,l21600,xe">
              <v:stroke joinstyle="miter"/>
              <v:path gradientshapeok="t" o:connecttype="rect"/>
            </v:shapetype>
            <v:shape id="Text Box 2" o:spid="_x0000_s1026" type="#_x0000_t202" style="position:absolute;left:0;text-align:left;margin-left:94.45pt;margin-top:.7pt;width:145.65pt;height:57.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" stroked="f">
              <v:textbox>
                <w:txbxContent>
                  <w:p w14:paraId="1ED8A789" w14:textId="789FE8DD"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Perry McGuire</w:t>
                    </w:r>
                  </w:p>
                  <w:p w14:paraId="592668CA" w14:textId="6BAE4F0F"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Vice President &amp; General Counsel</w:t>
                    </w:r>
                  </w:p>
                  <w:p w14:paraId="4BAA24EF" w14:textId="77777777"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(770) 632-4326</w:t>
                    </w:r>
                  </w:p>
                  <w:p w14:paraId="1918C02F" w14:textId="0BCCD23D" w:rsidR="009C6976" w:rsidRPr="008B20A9" w:rsidRDefault="009C6976" w:rsidP="009C6976">
                    <w:pPr>
                      <w:pStyle w:val="Header"/>
                      <w:tabs>
                        <w:tab w:val="left" w:pos="7380"/>
                        <w:tab w:val="left" w:pos="7740"/>
                        <w:tab w:val="right" w:pos="11070"/>
                      </w:tabs>
                      <w:jc w:val="left"/>
                      <w:rPr>
                        <w:sz w:val="20"/>
                        <w:szCs w:val="22"/>
                      </w:rPr>
                    </w:pPr>
                    <w:r w:rsidRPr="008B20A9">
                      <w:rPr>
                        <w:sz w:val="20"/>
                        <w:szCs w:val="22"/>
                      </w:rPr>
                      <w:t>pmcguire@rinnai.us</w:t>
                    </w:r>
                  </w:p>
                  <w:p w14:paraId="6BCD445A" w14:textId="6D3D3014" w:rsidR="009C6976" w:rsidRDefault="009C6976"/>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1024B56"/>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647C52E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882DC9"/>
    <w:multiLevelType w:val="hybridMultilevel"/>
    <w:tmpl w:val="F9CA5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C3E9E"/>
    <w:multiLevelType w:val="singleLevel"/>
    <w:tmpl w:val="37E252A4"/>
    <w:lvl w:ilvl="0">
      <w:start w:val="1"/>
      <w:numFmt w:val="bullet"/>
      <w:pStyle w:val="ListBullet"/>
      <w:lvlText w:val=""/>
      <w:lvlJc w:val="left"/>
      <w:pPr>
        <w:tabs>
          <w:tab w:val="num" w:pos="360"/>
        </w:tabs>
        <w:ind w:left="360" w:hanging="360"/>
      </w:pPr>
      <w:rPr>
        <w:rFonts w:ascii="Wingdings" w:hAnsi="Wingdings" w:hint="default"/>
      </w:rPr>
    </w:lvl>
  </w:abstractNum>
  <w:abstractNum w:abstractNumId="4" w15:restartNumberingAfterBreak="0">
    <w:nsid w:val="4A0B4534"/>
    <w:multiLevelType w:val="hybridMultilevel"/>
    <w:tmpl w:val="3E024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230FF8"/>
    <w:multiLevelType w:val="singleLevel"/>
    <w:tmpl w:val="CA8A963A"/>
    <w:lvl w:ilvl="0">
      <w:start w:val="1"/>
      <w:numFmt w:val="decimal"/>
      <w:pStyle w:val="ListNumber"/>
      <w:lvlText w:val="%1)"/>
      <w:lvlJc w:val="left"/>
      <w:pPr>
        <w:tabs>
          <w:tab w:val="num" w:pos="360"/>
        </w:tabs>
        <w:ind w:left="360" w:hanging="360"/>
      </w:pPr>
      <w:rPr>
        <w:rFonts w:cs="Times New Roman"/>
      </w:rPr>
    </w:lvl>
  </w:abstractNum>
  <w:abstractNum w:abstractNumId="6" w15:restartNumberingAfterBreak="0">
    <w:nsid w:val="7DB84AEE"/>
    <w:multiLevelType w:val="hybridMultilevel"/>
    <w:tmpl w:val="358CC16A"/>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158463">
    <w:abstractNumId w:val="1"/>
  </w:num>
  <w:num w:numId="2" w16cid:durableId="1446271810">
    <w:abstractNumId w:val="0"/>
  </w:num>
  <w:num w:numId="3" w16cid:durableId="72437345">
    <w:abstractNumId w:val="3"/>
  </w:num>
  <w:num w:numId="4" w16cid:durableId="258294616">
    <w:abstractNumId w:val="5"/>
  </w:num>
  <w:num w:numId="5" w16cid:durableId="1073165127">
    <w:abstractNumId w:val="4"/>
  </w:num>
  <w:num w:numId="6" w16cid:durableId="1631671577">
    <w:abstractNumId w:val="2"/>
  </w:num>
  <w:num w:numId="7" w16cid:durableId="162624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7"/>
  <w:drawingGridVerticalSpacing w:val="187"/>
  <w:doNotUseMarginsForDrawingGridOrigin/>
  <w:drawingGridHorizontalOrigin w:val="1699"/>
  <w:drawingGridVerticalOrigin w:val="19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A1E"/>
    <w:rsid w:val="00000F20"/>
    <w:rsid w:val="000134E7"/>
    <w:rsid w:val="00015264"/>
    <w:rsid w:val="00021DF7"/>
    <w:rsid w:val="0003191E"/>
    <w:rsid w:val="0003541C"/>
    <w:rsid w:val="00060D3B"/>
    <w:rsid w:val="00090082"/>
    <w:rsid w:val="00094F0D"/>
    <w:rsid w:val="000A2C94"/>
    <w:rsid w:val="000A6548"/>
    <w:rsid w:val="000B1061"/>
    <w:rsid w:val="000C4E71"/>
    <w:rsid w:val="000D1E3F"/>
    <w:rsid w:val="000E212B"/>
    <w:rsid w:val="000E393B"/>
    <w:rsid w:val="000E53EA"/>
    <w:rsid w:val="000F6936"/>
    <w:rsid w:val="0010132B"/>
    <w:rsid w:val="0010319A"/>
    <w:rsid w:val="001215DB"/>
    <w:rsid w:val="00145425"/>
    <w:rsid w:val="00147B63"/>
    <w:rsid w:val="00154339"/>
    <w:rsid w:val="00163EC3"/>
    <w:rsid w:val="00164CA8"/>
    <w:rsid w:val="001655D8"/>
    <w:rsid w:val="00165634"/>
    <w:rsid w:val="0018012D"/>
    <w:rsid w:val="0018276F"/>
    <w:rsid w:val="001840B6"/>
    <w:rsid w:val="00192B91"/>
    <w:rsid w:val="00196C95"/>
    <w:rsid w:val="001A53EF"/>
    <w:rsid w:val="001A5F5A"/>
    <w:rsid w:val="001A73FB"/>
    <w:rsid w:val="001A761B"/>
    <w:rsid w:val="001B3862"/>
    <w:rsid w:val="001C72BD"/>
    <w:rsid w:val="001D7154"/>
    <w:rsid w:val="001D7E4A"/>
    <w:rsid w:val="001E3A47"/>
    <w:rsid w:val="001F1BED"/>
    <w:rsid w:val="001F638F"/>
    <w:rsid w:val="00233A97"/>
    <w:rsid w:val="0023748E"/>
    <w:rsid w:val="00251D65"/>
    <w:rsid w:val="00251F9D"/>
    <w:rsid w:val="0025531D"/>
    <w:rsid w:val="002642E0"/>
    <w:rsid w:val="00270B95"/>
    <w:rsid w:val="002748D5"/>
    <w:rsid w:val="00284266"/>
    <w:rsid w:val="00285F72"/>
    <w:rsid w:val="00290432"/>
    <w:rsid w:val="002940CA"/>
    <w:rsid w:val="002A15B2"/>
    <w:rsid w:val="002A69ED"/>
    <w:rsid w:val="002A7A23"/>
    <w:rsid w:val="002B3AD2"/>
    <w:rsid w:val="002C57FD"/>
    <w:rsid w:val="002D0E81"/>
    <w:rsid w:val="002D713A"/>
    <w:rsid w:val="002E049E"/>
    <w:rsid w:val="002E2DB6"/>
    <w:rsid w:val="002F0BEA"/>
    <w:rsid w:val="002F0EC7"/>
    <w:rsid w:val="002F2D66"/>
    <w:rsid w:val="00315ECC"/>
    <w:rsid w:val="003253F0"/>
    <w:rsid w:val="003342D1"/>
    <w:rsid w:val="00343C1E"/>
    <w:rsid w:val="0034494D"/>
    <w:rsid w:val="00355329"/>
    <w:rsid w:val="003640C4"/>
    <w:rsid w:val="003642A0"/>
    <w:rsid w:val="003740F4"/>
    <w:rsid w:val="00377B1A"/>
    <w:rsid w:val="00377E5D"/>
    <w:rsid w:val="00392D2C"/>
    <w:rsid w:val="00392DAC"/>
    <w:rsid w:val="003A1F0F"/>
    <w:rsid w:val="003B2000"/>
    <w:rsid w:val="003B229A"/>
    <w:rsid w:val="003B285D"/>
    <w:rsid w:val="003B34C9"/>
    <w:rsid w:val="003B5AF8"/>
    <w:rsid w:val="003C33DC"/>
    <w:rsid w:val="003D0992"/>
    <w:rsid w:val="003D1C1B"/>
    <w:rsid w:val="003D2C8D"/>
    <w:rsid w:val="003E2E40"/>
    <w:rsid w:val="003F0480"/>
    <w:rsid w:val="003F5DC0"/>
    <w:rsid w:val="00402195"/>
    <w:rsid w:val="004119BC"/>
    <w:rsid w:val="00413EE0"/>
    <w:rsid w:val="00420105"/>
    <w:rsid w:val="004212B3"/>
    <w:rsid w:val="0042268F"/>
    <w:rsid w:val="004230CF"/>
    <w:rsid w:val="00444F81"/>
    <w:rsid w:val="004622CD"/>
    <w:rsid w:val="00467A1E"/>
    <w:rsid w:val="00467A3E"/>
    <w:rsid w:val="00472F01"/>
    <w:rsid w:val="00476638"/>
    <w:rsid w:val="0048260C"/>
    <w:rsid w:val="00485FD5"/>
    <w:rsid w:val="00496DC9"/>
    <w:rsid w:val="004A0EB7"/>
    <w:rsid w:val="004B043E"/>
    <w:rsid w:val="004B06FD"/>
    <w:rsid w:val="004C53B5"/>
    <w:rsid w:val="004C5CB0"/>
    <w:rsid w:val="004C7DCA"/>
    <w:rsid w:val="004D371D"/>
    <w:rsid w:val="004E3206"/>
    <w:rsid w:val="004E353E"/>
    <w:rsid w:val="004E5123"/>
    <w:rsid w:val="004E7FF0"/>
    <w:rsid w:val="004F498F"/>
    <w:rsid w:val="004F52AB"/>
    <w:rsid w:val="004F6885"/>
    <w:rsid w:val="004F781E"/>
    <w:rsid w:val="005102CB"/>
    <w:rsid w:val="005117CE"/>
    <w:rsid w:val="00511812"/>
    <w:rsid w:val="005172C6"/>
    <w:rsid w:val="00523304"/>
    <w:rsid w:val="00527AB6"/>
    <w:rsid w:val="00530B0E"/>
    <w:rsid w:val="00534A2D"/>
    <w:rsid w:val="00535338"/>
    <w:rsid w:val="0053682B"/>
    <w:rsid w:val="0054283C"/>
    <w:rsid w:val="00546DC8"/>
    <w:rsid w:val="00555B75"/>
    <w:rsid w:val="00556FAE"/>
    <w:rsid w:val="00557432"/>
    <w:rsid w:val="00562205"/>
    <w:rsid w:val="00584C6B"/>
    <w:rsid w:val="0058514B"/>
    <w:rsid w:val="0058749B"/>
    <w:rsid w:val="00587E6F"/>
    <w:rsid w:val="005A3349"/>
    <w:rsid w:val="005D1F9C"/>
    <w:rsid w:val="005D5FB7"/>
    <w:rsid w:val="005E14EF"/>
    <w:rsid w:val="005E23F0"/>
    <w:rsid w:val="005F267A"/>
    <w:rsid w:val="006152C3"/>
    <w:rsid w:val="006202A0"/>
    <w:rsid w:val="006224D3"/>
    <w:rsid w:val="00630C4A"/>
    <w:rsid w:val="00635994"/>
    <w:rsid w:val="00640E4F"/>
    <w:rsid w:val="0064202E"/>
    <w:rsid w:val="00642453"/>
    <w:rsid w:val="00651920"/>
    <w:rsid w:val="006522F2"/>
    <w:rsid w:val="006523C8"/>
    <w:rsid w:val="006550EE"/>
    <w:rsid w:val="0065627D"/>
    <w:rsid w:val="00677BF1"/>
    <w:rsid w:val="0068246B"/>
    <w:rsid w:val="00682D82"/>
    <w:rsid w:val="00686449"/>
    <w:rsid w:val="00692892"/>
    <w:rsid w:val="0069765C"/>
    <w:rsid w:val="00697927"/>
    <w:rsid w:val="006B4D27"/>
    <w:rsid w:val="006C3118"/>
    <w:rsid w:val="006C5B53"/>
    <w:rsid w:val="006C670A"/>
    <w:rsid w:val="006C701E"/>
    <w:rsid w:val="006D0A74"/>
    <w:rsid w:val="006D3513"/>
    <w:rsid w:val="006E0B52"/>
    <w:rsid w:val="006E2D9D"/>
    <w:rsid w:val="006E3017"/>
    <w:rsid w:val="007015EB"/>
    <w:rsid w:val="00704B6A"/>
    <w:rsid w:val="00714663"/>
    <w:rsid w:val="007147AB"/>
    <w:rsid w:val="00721D9A"/>
    <w:rsid w:val="00723226"/>
    <w:rsid w:val="00725825"/>
    <w:rsid w:val="00726076"/>
    <w:rsid w:val="0073475D"/>
    <w:rsid w:val="00736E28"/>
    <w:rsid w:val="007516B6"/>
    <w:rsid w:val="00766419"/>
    <w:rsid w:val="00770C2F"/>
    <w:rsid w:val="00775058"/>
    <w:rsid w:val="007758FB"/>
    <w:rsid w:val="00775FB4"/>
    <w:rsid w:val="00781F10"/>
    <w:rsid w:val="0078353F"/>
    <w:rsid w:val="00786C61"/>
    <w:rsid w:val="0079065D"/>
    <w:rsid w:val="0079167F"/>
    <w:rsid w:val="00796063"/>
    <w:rsid w:val="007A064E"/>
    <w:rsid w:val="007A2A2E"/>
    <w:rsid w:val="007A612B"/>
    <w:rsid w:val="007B1BF2"/>
    <w:rsid w:val="007D004B"/>
    <w:rsid w:val="007E18B7"/>
    <w:rsid w:val="007F19A3"/>
    <w:rsid w:val="008039AC"/>
    <w:rsid w:val="008145B6"/>
    <w:rsid w:val="00822502"/>
    <w:rsid w:val="00825CCE"/>
    <w:rsid w:val="008475C4"/>
    <w:rsid w:val="00860CF8"/>
    <w:rsid w:val="00862BB7"/>
    <w:rsid w:val="00866DBE"/>
    <w:rsid w:val="00883A17"/>
    <w:rsid w:val="00893FB0"/>
    <w:rsid w:val="008A6F16"/>
    <w:rsid w:val="008B20A9"/>
    <w:rsid w:val="008C39A0"/>
    <w:rsid w:val="008D21DA"/>
    <w:rsid w:val="009066DF"/>
    <w:rsid w:val="00922326"/>
    <w:rsid w:val="00927740"/>
    <w:rsid w:val="00935EF8"/>
    <w:rsid w:val="00943AED"/>
    <w:rsid w:val="009520E6"/>
    <w:rsid w:val="009602D2"/>
    <w:rsid w:val="00962612"/>
    <w:rsid w:val="00964902"/>
    <w:rsid w:val="00966D4E"/>
    <w:rsid w:val="009723EC"/>
    <w:rsid w:val="00972D56"/>
    <w:rsid w:val="009747D2"/>
    <w:rsid w:val="00977993"/>
    <w:rsid w:val="00994927"/>
    <w:rsid w:val="009A1115"/>
    <w:rsid w:val="009A21BE"/>
    <w:rsid w:val="009A3FD2"/>
    <w:rsid w:val="009B33E1"/>
    <w:rsid w:val="009B721F"/>
    <w:rsid w:val="009C3569"/>
    <w:rsid w:val="009C6976"/>
    <w:rsid w:val="009D1ACF"/>
    <w:rsid w:val="009D24D2"/>
    <w:rsid w:val="009D3696"/>
    <w:rsid w:val="009D4FFD"/>
    <w:rsid w:val="009E0FF5"/>
    <w:rsid w:val="009F477B"/>
    <w:rsid w:val="00A12C84"/>
    <w:rsid w:val="00A15F60"/>
    <w:rsid w:val="00A20DF5"/>
    <w:rsid w:val="00A2680C"/>
    <w:rsid w:val="00A43B9B"/>
    <w:rsid w:val="00A45932"/>
    <w:rsid w:val="00A6251E"/>
    <w:rsid w:val="00A6279C"/>
    <w:rsid w:val="00A74A5F"/>
    <w:rsid w:val="00A77BC9"/>
    <w:rsid w:val="00A84EE4"/>
    <w:rsid w:val="00A95EB4"/>
    <w:rsid w:val="00AA4337"/>
    <w:rsid w:val="00AE0DFD"/>
    <w:rsid w:val="00AE4D15"/>
    <w:rsid w:val="00AE7EDF"/>
    <w:rsid w:val="00AF19C3"/>
    <w:rsid w:val="00AF1DA5"/>
    <w:rsid w:val="00AF676C"/>
    <w:rsid w:val="00AF74BE"/>
    <w:rsid w:val="00B20B99"/>
    <w:rsid w:val="00B25038"/>
    <w:rsid w:val="00B44E50"/>
    <w:rsid w:val="00B77A0A"/>
    <w:rsid w:val="00B80A71"/>
    <w:rsid w:val="00B83663"/>
    <w:rsid w:val="00B87045"/>
    <w:rsid w:val="00B87A66"/>
    <w:rsid w:val="00B924A8"/>
    <w:rsid w:val="00BA26EA"/>
    <w:rsid w:val="00BB2AAA"/>
    <w:rsid w:val="00BC3572"/>
    <w:rsid w:val="00BD69A0"/>
    <w:rsid w:val="00BE1A71"/>
    <w:rsid w:val="00BE33B3"/>
    <w:rsid w:val="00BE5CA7"/>
    <w:rsid w:val="00C05D5C"/>
    <w:rsid w:val="00C10C14"/>
    <w:rsid w:val="00C134CA"/>
    <w:rsid w:val="00C21EE5"/>
    <w:rsid w:val="00C323B1"/>
    <w:rsid w:val="00C3399C"/>
    <w:rsid w:val="00C349F5"/>
    <w:rsid w:val="00C408DE"/>
    <w:rsid w:val="00C5073E"/>
    <w:rsid w:val="00C5780D"/>
    <w:rsid w:val="00C57C2F"/>
    <w:rsid w:val="00C57D2C"/>
    <w:rsid w:val="00C66A6A"/>
    <w:rsid w:val="00C72C37"/>
    <w:rsid w:val="00C80C90"/>
    <w:rsid w:val="00C82A57"/>
    <w:rsid w:val="00CB78D1"/>
    <w:rsid w:val="00CD0CEC"/>
    <w:rsid w:val="00CD3E97"/>
    <w:rsid w:val="00CE5BD8"/>
    <w:rsid w:val="00CF3E2F"/>
    <w:rsid w:val="00D10AD3"/>
    <w:rsid w:val="00D31656"/>
    <w:rsid w:val="00D63E68"/>
    <w:rsid w:val="00D756ED"/>
    <w:rsid w:val="00D810F6"/>
    <w:rsid w:val="00D82F63"/>
    <w:rsid w:val="00D8682A"/>
    <w:rsid w:val="00D93867"/>
    <w:rsid w:val="00DB1A04"/>
    <w:rsid w:val="00DB35C5"/>
    <w:rsid w:val="00DC1083"/>
    <w:rsid w:val="00DC6EBB"/>
    <w:rsid w:val="00DD07B9"/>
    <w:rsid w:val="00DD3299"/>
    <w:rsid w:val="00DD6276"/>
    <w:rsid w:val="00DE1C75"/>
    <w:rsid w:val="00DE2181"/>
    <w:rsid w:val="00DE56BB"/>
    <w:rsid w:val="00DE7B66"/>
    <w:rsid w:val="00DF1EFD"/>
    <w:rsid w:val="00DF27E4"/>
    <w:rsid w:val="00DF4785"/>
    <w:rsid w:val="00DF4C1F"/>
    <w:rsid w:val="00E12163"/>
    <w:rsid w:val="00E25681"/>
    <w:rsid w:val="00E25AF6"/>
    <w:rsid w:val="00E44878"/>
    <w:rsid w:val="00E46C07"/>
    <w:rsid w:val="00E47862"/>
    <w:rsid w:val="00E5119B"/>
    <w:rsid w:val="00E62B53"/>
    <w:rsid w:val="00E70B30"/>
    <w:rsid w:val="00E72E18"/>
    <w:rsid w:val="00E90C5A"/>
    <w:rsid w:val="00E939D6"/>
    <w:rsid w:val="00EA47D9"/>
    <w:rsid w:val="00EA7570"/>
    <w:rsid w:val="00EA7CBC"/>
    <w:rsid w:val="00EB038B"/>
    <w:rsid w:val="00EB2646"/>
    <w:rsid w:val="00EC4647"/>
    <w:rsid w:val="00EE0AEA"/>
    <w:rsid w:val="00EF4BE4"/>
    <w:rsid w:val="00F01CC6"/>
    <w:rsid w:val="00F05AE1"/>
    <w:rsid w:val="00F31D51"/>
    <w:rsid w:val="00F36B40"/>
    <w:rsid w:val="00F403C2"/>
    <w:rsid w:val="00F407A2"/>
    <w:rsid w:val="00F450A0"/>
    <w:rsid w:val="00F464F2"/>
    <w:rsid w:val="00F4781C"/>
    <w:rsid w:val="00F60ADD"/>
    <w:rsid w:val="00F649C9"/>
    <w:rsid w:val="00F677F0"/>
    <w:rsid w:val="00F67927"/>
    <w:rsid w:val="00F71E0C"/>
    <w:rsid w:val="00F73221"/>
    <w:rsid w:val="00F73818"/>
    <w:rsid w:val="00F76CA1"/>
    <w:rsid w:val="00F9035C"/>
    <w:rsid w:val="00F91A6A"/>
    <w:rsid w:val="00F92C38"/>
    <w:rsid w:val="00F97468"/>
    <w:rsid w:val="00FB471E"/>
    <w:rsid w:val="00FB57AB"/>
    <w:rsid w:val="00FB62CF"/>
    <w:rsid w:val="00FC047B"/>
    <w:rsid w:val="00FE5CAB"/>
    <w:rsid w:val="00FF3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9E8F2"/>
  <w15:docId w15:val="{29B95EFB-3DA4-415E-BBEA-0226585FA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pacing w:val="-5"/>
      <w:sz w:val="24"/>
    </w:rPr>
  </w:style>
  <w:style w:type="paragraph" w:styleId="Heading1">
    <w:name w:val="heading 1"/>
    <w:basedOn w:val="HeadingBase"/>
    <w:next w:val="BodyText"/>
    <w:qFormat/>
    <w:pPr>
      <w:spacing w:after="220"/>
      <w:jc w:val="left"/>
      <w:outlineLvl w:val="0"/>
    </w:pPr>
  </w:style>
  <w:style w:type="paragraph" w:styleId="Heading2">
    <w:name w:val="heading 2"/>
    <w:basedOn w:val="HeadingBase"/>
    <w:next w:val="BodyText"/>
    <w:qFormat/>
    <w:pPr>
      <w:jc w:val="left"/>
      <w:outlineLvl w:val="1"/>
    </w:pPr>
    <w:rPr>
      <w:sz w:val="18"/>
    </w:rPr>
  </w:style>
  <w:style w:type="paragraph" w:styleId="Heading3">
    <w:name w:val="heading 3"/>
    <w:basedOn w:val="HeadingBase"/>
    <w:next w:val="BodyText"/>
    <w:qFormat/>
    <w:pPr>
      <w:spacing w:after="220"/>
      <w:jc w:val="left"/>
      <w:outlineLvl w:val="2"/>
    </w:pPr>
    <w:rPr>
      <w:rFonts w:ascii="Arial" w:hAnsi="Arial"/>
      <w:sz w:val="22"/>
    </w:rPr>
  </w:style>
  <w:style w:type="paragraph" w:styleId="Heading4">
    <w:name w:val="heading 4"/>
    <w:basedOn w:val="HeadingBase"/>
    <w:next w:val="BodyText"/>
    <w:qFormat/>
    <w:pPr>
      <w:ind w:left="360"/>
      <w:outlineLvl w:val="3"/>
    </w:pPr>
    <w:rPr>
      <w:spacing w:val="-5"/>
      <w:sz w:val="18"/>
    </w:rPr>
  </w:style>
  <w:style w:type="paragraph" w:styleId="Heading5">
    <w:name w:val="heading 5"/>
    <w:basedOn w:val="HeadingBase"/>
    <w:next w:val="BodyText"/>
    <w:qFormat/>
    <w:pPr>
      <w:ind w:left="720"/>
      <w:outlineLvl w:val="4"/>
    </w:pPr>
    <w:rPr>
      <w:spacing w:val="-5"/>
      <w:sz w:val="18"/>
    </w:rPr>
  </w:style>
  <w:style w:type="paragraph" w:styleId="Heading6">
    <w:name w:val="heading 6"/>
    <w:basedOn w:val="HeadingBase"/>
    <w:next w:val="BodyText"/>
    <w:qFormat/>
    <w:pPr>
      <w:ind w:left="1080"/>
      <w:outlineLvl w:val="5"/>
    </w:pPr>
    <w:rPr>
      <w:spacing w:val="-5"/>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after="220" w:line="220" w:lineRule="atLeast"/>
    </w:pPr>
    <w:rPr>
      <w:rFonts w:ascii="Arial" w:hAnsi="Arial"/>
    </w:rPr>
  </w:style>
  <w:style w:type="paragraph" w:styleId="Salutation">
    <w:name w:val="Salutation"/>
    <w:basedOn w:val="Normal"/>
    <w:next w:val="SubjectLine"/>
    <w:pPr>
      <w:spacing w:before="220" w:after="220" w:line="220" w:lineRule="atLeast"/>
      <w:jc w:val="left"/>
    </w:pPr>
  </w:style>
  <w:style w:type="paragraph" w:styleId="BodyText">
    <w:name w:val="Body Text"/>
    <w:basedOn w:val="Normal"/>
    <w:pPr>
      <w:spacing w:after="220" w:line="220" w:lineRule="atLeast"/>
    </w:pPr>
  </w:style>
  <w:style w:type="paragraph" w:customStyle="1" w:styleId="CcList">
    <w:name w:val="Cc List"/>
    <w:basedOn w:val="Normal"/>
    <w:pPr>
      <w:keepLines/>
      <w:spacing w:line="220" w:lineRule="atLeast"/>
      <w:ind w:left="360" w:hanging="360"/>
    </w:pPr>
    <w:rPr>
      <w:rFonts w:ascii="Arial" w:hAnsi="Arial"/>
    </w:rPr>
  </w:style>
  <w:style w:type="paragraph" w:styleId="Closing">
    <w:name w:val="Closing"/>
    <w:basedOn w:val="Normal"/>
    <w:next w:val="Signature"/>
    <w:pPr>
      <w:keepNext/>
      <w:spacing w:after="60" w:line="220" w:lineRule="atLeast"/>
    </w:pPr>
  </w:style>
  <w:style w:type="paragraph" w:styleId="Signature">
    <w:name w:val="Signature"/>
    <w:basedOn w:val="Normal"/>
    <w:next w:val="SignatureJobTitle"/>
    <w:pPr>
      <w:keepNext/>
      <w:spacing w:before="880" w:line="220" w:lineRule="atLeast"/>
      <w:jc w:val="left"/>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e">
    <w:name w:val="Date"/>
    <w:basedOn w:val="Normal"/>
    <w:next w:val="InsideAddressName"/>
    <w:pPr>
      <w:spacing w:after="220" w:line="220" w:lineRule="atLeast"/>
    </w:pPr>
  </w:style>
  <w:style w:type="character" w:styleId="Emphasis">
    <w:name w:val="Emphasis"/>
    <w:basedOn w:val="DefaultParagraphFont"/>
    <w:qFormat/>
    <w:rPr>
      <w:rFonts w:ascii="Arial Black" w:hAnsi="Arial Black"/>
      <w:sz w:val="18"/>
    </w:rPr>
  </w:style>
  <w:style w:type="paragraph" w:customStyle="1" w:styleId="Enclosure">
    <w:name w:val="Enclosure"/>
    <w:basedOn w:val="Normal"/>
    <w:next w:val="CcList"/>
    <w:pPr>
      <w:keepNext/>
      <w:keepLines/>
      <w:spacing w:after="220" w:line="220" w:lineRule="atLeast"/>
    </w:pPr>
    <w:rPr>
      <w:rFonts w:ascii="Arial" w:hAnsi="Arial"/>
    </w:rPr>
  </w:style>
  <w:style w:type="paragraph" w:customStyle="1" w:styleId="HeadingBase">
    <w:name w:val="Heading Base"/>
    <w:basedOn w:val="Normal"/>
    <w:next w:val="BodyText"/>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ind w:left="720"/>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rFonts w:ascii="Arial" w:hAnsi="Arial"/>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jc w:val="lef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basedOn w:val="DefaultParagraphFont"/>
    <w:rPr>
      <w:rFonts w:ascii="Arial Black" w:hAnsi="Arial Black" w:cs="Times New Roman"/>
      <w:sz w:val="18"/>
    </w:rPr>
  </w:style>
  <w:style w:type="paragraph" w:customStyle="1" w:styleId="SubjectLine">
    <w:name w:val="Subject Line"/>
    <w:basedOn w:val="Normal"/>
    <w:next w:val="BodyText"/>
    <w:pPr>
      <w:spacing w:after="220" w:line="220" w:lineRule="atLeast"/>
      <w:jc w:val="left"/>
    </w:pPr>
    <w:rPr>
      <w:rFonts w:ascii="Arial Black" w:hAnsi="Arial Black"/>
      <w:spacing w:val="-1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basedOn w:val="DefaultParagraphFont"/>
    <w:rPr>
      <w:rFonts w:cs="Times New Roman"/>
      <w:color w:val="0000FF"/>
      <w:u w:val="single"/>
    </w:rPr>
  </w:style>
  <w:style w:type="paragraph" w:styleId="List">
    <w:name w:val="List"/>
    <w:basedOn w:val="BodyText"/>
    <w:pPr>
      <w:ind w:left="360" w:hanging="360"/>
    </w:pPr>
  </w:style>
  <w:style w:type="paragraph" w:styleId="ListBullet">
    <w:name w:val="List Bullet"/>
    <w:basedOn w:val="List"/>
    <w:autoRedefine/>
    <w:pPr>
      <w:numPr>
        <w:numId w:val="3"/>
      </w:numPr>
    </w:pPr>
  </w:style>
  <w:style w:type="paragraph" w:styleId="ListNumber">
    <w:name w:val="List Number"/>
    <w:basedOn w:val="BodyText"/>
    <w:pPr>
      <w:numPr>
        <w:numId w:val="4"/>
      </w:numPr>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pacing w:val="-5"/>
      <w:sz w:val="16"/>
      <w:szCs w:val="16"/>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Pr>
      <w:rFonts w:cs="Times New Roman"/>
      <w:color w:val="808080"/>
    </w:rPr>
  </w:style>
  <w:style w:type="character" w:customStyle="1" w:styleId="DocID">
    <w:name w:val="DocID"/>
    <w:basedOn w:val="DefaultParagraphFont"/>
    <w:rPr>
      <w:rFonts w:ascii="Times New Roman" w:hAnsi="Times New Roman" w:cs="Times New Roman"/>
      <w:b w:val="0"/>
      <w:i w:val="0"/>
      <w:caps w:val="0"/>
      <w:vanish w:val="0"/>
      <w:color w:val="000000"/>
      <w:sz w:val="14"/>
      <w:u w:val="none"/>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pacing w:val="-5"/>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rsid w:val="004212B3"/>
    <w:rPr>
      <w:spacing w:val="-5"/>
      <w:sz w:val="24"/>
    </w:rPr>
  </w:style>
  <w:style w:type="character" w:customStyle="1" w:styleId="FooterChar">
    <w:name w:val="Footer Char"/>
    <w:basedOn w:val="DefaultParagraphFont"/>
    <w:link w:val="Footer"/>
    <w:rsid w:val="000A2C94"/>
    <w:rPr>
      <w:spacing w:val="-5"/>
      <w:sz w:val="24"/>
    </w:rPr>
  </w:style>
  <w:style w:type="paragraph" w:styleId="ListParagraph">
    <w:name w:val="List Paragraph"/>
    <w:basedOn w:val="Normal"/>
    <w:uiPriority w:val="34"/>
    <w:qFormat/>
    <w:rsid w:val="00F649C9"/>
    <w:pPr>
      <w:ind w:left="720"/>
      <w:contextualSpacing/>
      <w:jc w:val="left"/>
    </w:pPr>
    <w:rPr>
      <w:rFonts w:eastAsiaTheme="minorHAnsi" w:cstheme="minorBidi"/>
      <w:spacing w:val="0"/>
      <w:szCs w:val="24"/>
    </w:rPr>
  </w:style>
  <w:style w:type="character" w:styleId="UnresolvedMention">
    <w:name w:val="Unresolved Mention"/>
    <w:basedOn w:val="DefaultParagraphFont"/>
    <w:uiPriority w:val="99"/>
    <w:semiHidden/>
    <w:unhideWhenUsed/>
    <w:rsid w:val="004B06FD"/>
    <w:rPr>
      <w:color w:val="605E5C"/>
      <w:shd w:val="clear" w:color="auto" w:fill="E1DFDD"/>
    </w:rPr>
  </w:style>
  <w:style w:type="character" w:styleId="FootnoteReference">
    <w:name w:val="footnote reference"/>
    <w:aliases w:val="(NECG) Footnote Reference,0 PIER Footnote Reference,0 PIER Footnote Text,Appel note de bas de p,Footnote Reference1,Style 11,Style 12,Style 124,Style 17,Style 24,Style 28,Style 3,fr,o,o + Times New Roman,o1,o11,o2,o21,o3,o4,o5,o6,o7"/>
    <w:basedOn w:val="DefaultParagraphFont"/>
    <w:uiPriority w:val="99"/>
    <w:qFormat/>
    <w:rsid w:val="00B25038"/>
    <w:rPr>
      <w:rFonts w:ascii="Times New Roman" w:hAnsi="Times New Roman"/>
      <w:b w:val="0"/>
      <w:i w:val="0"/>
      <w:sz w:val="22"/>
      <w:vertAlign w:val="superscript"/>
    </w:rPr>
  </w:style>
  <w:style w:type="paragraph" w:styleId="FootnoteText">
    <w:name w:val="footnote text"/>
    <w:aliases w:val="Footnote Text Char2 Char,Footnote Text Char1 Char Char,Footnote Text Char Char Char Char,Footnote Text Char2 Char Char Char Char,Footnote Text Char1 Char1 Char1 Char Char Char,Footnote Text Char1,Footnote Text Char Char,Char1,TBG Style,Ch"/>
    <w:basedOn w:val="Normal"/>
    <w:link w:val="FootnoteTextChar"/>
    <w:uiPriority w:val="99"/>
    <w:unhideWhenUsed/>
    <w:qFormat/>
    <w:rsid w:val="00B25038"/>
    <w:pPr>
      <w:jc w:val="left"/>
    </w:pPr>
    <w:rPr>
      <w:rFonts w:asciiTheme="minorHAnsi" w:eastAsiaTheme="minorHAnsi" w:hAnsiTheme="minorHAnsi" w:cstheme="minorBidi"/>
      <w:spacing w:val="0"/>
      <w:kern w:val="2"/>
      <w:sz w:val="20"/>
      <w14:ligatures w14:val="standardContextual"/>
    </w:rPr>
  </w:style>
  <w:style w:type="character" w:customStyle="1" w:styleId="FootnoteTextChar">
    <w:name w:val="Footnote Text Char"/>
    <w:aliases w:val="Footnote Text Char2 Char Char,Footnote Text Char1 Char Char Char,Footnote Text Char Char Char Char Char,Footnote Text Char2 Char Char Char Char Char,Footnote Text Char1 Char1 Char1 Char Char Char Char,Footnote Text Char1 Char,Ch Char"/>
    <w:basedOn w:val="DefaultParagraphFont"/>
    <w:link w:val="FootnoteText"/>
    <w:uiPriority w:val="99"/>
    <w:rsid w:val="00B25038"/>
    <w:rPr>
      <w:rFonts w:asciiTheme="minorHAnsi" w:eastAsiaTheme="minorHAnsi" w:hAnsiTheme="minorHAnsi" w:cstheme="minorBidi"/>
      <w:kern w:val="2"/>
      <w14:ligatures w14:val="standardContextual"/>
    </w:rPr>
  </w:style>
  <w:style w:type="character" w:customStyle="1" w:styleId="eop">
    <w:name w:val="eop"/>
    <w:basedOn w:val="DefaultParagraphFont"/>
    <w:rsid w:val="00F71E0C"/>
  </w:style>
  <w:style w:type="character" w:customStyle="1" w:styleId="normaltextrun">
    <w:name w:val="normaltextrun"/>
    <w:basedOn w:val="DefaultParagraphFont"/>
    <w:rsid w:val="00F71E0C"/>
  </w:style>
  <w:style w:type="paragraph" w:customStyle="1" w:styleId="paragraph">
    <w:name w:val="paragraph"/>
    <w:basedOn w:val="Normal"/>
    <w:rsid w:val="00F71E0C"/>
    <w:pPr>
      <w:spacing w:before="100" w:beforeAutospacing="1" w:after="100" w:afterAutospacing="1"/>
      <w:jc w:val="left"/>
    </w:pPr>
    <w:rPr>
      <w:spacing w:val="0"/>
      <w:szCs w:val="24"/>
    </w:rPr>
  </w:style>
  <w:style w:type="character" w:styleId="CommentReference">
    <w:name w:val="annotation reference"/>
    <w:basedOn w:val="DefaultParagraphFont"/>
    <w:uiPriority w:val="99"/>
    <w:semiHidden/>
    <w:unhideWhenUsed/>
    <w:rsid w:val="00F71E0C"/>
    <w:rPr>
      <w:sz w:val="16"/>
      <w:szCs w:val="16"/>
    </w:rPr>
  </w:style>
  <w:style w:type="paragraph" w:styleId="CommentText">
    <w:name w:val="annotation text"/>
    <w:basedOn w:val="Normal"/>
    <w:link w:val="CommentTextChar"/>
    <w:uiPriority w:val="99"/>
    <w:unhideWhenUsed/>
    <w:rsid w:val="00F71E0C"/>
    <w:pPr>
      <w:spacing w:after="160"/>
      <w:jc w:val="left"/>
    </w:pPr>
    <w:rPr>
      <w:rFonts w:asciiTheme="minorHAnsi" w:eastAsiaTheme="minorHAnsi" w:hAnsiTheme="minorHAnsi" w:cstheme="minorBidi"/>
      <w:spacing w:val="0"/>
      <w:sz w:val="20"/>
    </w:rPr>
  </w:style>
  <w:style w:type="character" w:customStyle="1" w:styleId="CommentTextChar">
    <w:name w:val="Comment Text Char"/>
    <w:basedOn w:val="DefaultParagraphFont"/>
    <w:link w:val="CommentText"/>
    <w:uiPriority w:val="99"/>
    <w:rsid w:val="00F71E0C"/>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B924A8"/>
    <w:pPr>
      <w:spacing w:after="0"/>
      <w:jc w:val="both"/>
    </w:pPr>
    <w:rPr>
      <w:rFonts w:ascii="Times New Roman" w:eastAsia="Times New Roman" w:hAnsi="Times New Roman" w:cs="Times New Roman"/>
      <w:b/>
      <w:bCs/>
      <w:spacing w:val="-5"/>
    </w:rPr>
  </w:style>
  <w:style w:type="character" w:customStyle="1" w:styleId="CommentSubjectChar">
    <w:name w:val="Comment Subject Char"/>
    <w:basedOn w:val="CommentTextChar"/>
    <w:link w:val="CommentSubject"/>
    <w:uiPriority w:val="99"/>
    <w:semiHidden/>
    <w:rsid w:val="00B924A8"/>
    <w:rPr>
      <w:rFonts w:asciiTheme="minorHAnsi" w:eastAsiaTheme="minorHAnsi" w:hAnsiTheme="minorHAnsi" w:cstheme="minorBidi"/>
      <w:b/>
      <w:bCs/>
      <w:spacing w:val="-5"/>
    </w:rPr>
  </w:style>
  <w:style w:type="character" w:styleId="FollowedHyperlink">
    <w:name w:val="FollowedHyperlink"/>
    <w:basedOn w:val="DefaultParagraphFont"/>
    <w:uiPriority w:val="99"/>
    <w:semiHidden/>
    <w:unhideWhenUsed/>
    <w:rsid w:val="005E23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CF3E8FF66EC14AAA0028DD0E977B80" ma:contentTypeVersion="18" ma:contentTypeDescription="Create a new document." ma:contentTypeScope="" ma:versionID="c71f9a9dfa94c8f39bf0cf5de6bc36cc">
  <xsd:schema xmlns:xsd="http://www.w3.org/2001/XMLSchema" xmlns:xs="http://www.w3.org/2001/XMLSchema" xmlns:p="http://schemas.microsoft.com/office/2006/metadata/properties" xmlns:ns2="11b467e7-c1ee-4e42-a284-f836c9c868b5" xmlns:ns3="ea3ca49f-06a2-4a4b-ab28-e652e4c957b1" xmlns:ns4="31033a21-b3f4-4282-b0ee-a81a43526cea" targetNamespace="http://schemas.microsoft.com/office/2006/metadata/properties" ma:root="true" ma:fieldsID="a7538f0f074490344c1f193ee396d29d" ns2:_="" ns3:_="" ns4:_="">
    <xsd:import namespace="11b467e7-c1ee-4e42-a284-f836c9c868b5"/>
    <xsd:import namespace="ea3ca49f-06a2-4a4b-ab28-e652e4c957b1"/>
    <xsd:import namespace="31033a21-b3f4-4282-b0ee-a81a43526c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467e7-c1ee-4e42-a284-f836c9c86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5e2eef5-eb2c-4e21-a112-3670bb05e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3ca49f-06a2-4a4b-ab28-e652e4c957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33a21-b3f4-4282-b0ee-a81a43526ce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ae55a28-b5bd-490f-b64e-7c3bcc41ed85}" ma:internalName="TaxCatchAll" ma:showField="CatchAllData" ma:web="ea3ca49f-06a2-4a4b-ab28-e652e4c957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b467e7-c1ee-4e42-a284-f836c9c868b5">
      <Terms xmlns="http://schemas.microsoft.com/office/infopath/2007/PartnerControls"/>
    </lcf76f155ced4ddcb4097134ff3c332f>
    <TaxCatchAll xmlns="31033a21-b3f4-4282-b0ee-a81a43526cea" xsi:nil="true"/>
  </documentManagement>
</p:properties>
</file>

<file path=customXml/itemProps1.xml><?xml version="1.0" encoding="utf-8"?>
<ds:datastoreItem xmlns:ds="http://schemas.openxmlformats.org/officeDocument/2006/customXml" ds:itemID="{B1464B47-328B-4FE8-BA8F-C21932B83F3B}">
  <ds:schemaRefs>
    <ds:schemaRef ds:uri="http://schemas.microsoft.com/sharepoint/v3/contenttype/forms"/>
  </ds:schemaRefs>
</ds:datastoreItem>
</file>

<file path=customXml/itemProps2.xml><?xml version="1.0" encoding="utf-8"?>
<ds:datastoreItem xmlns:ds="http://schemas.openxmlformats.org/officeDocument/2006/customXml" ds:itemID="{E7706524-EA1C-4804-8112-F419640B2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467e7-c1ee-4e42-a284-f836c9c868b5"/>
    <ds:schemaRef ds:uri="ea3ca49f-06a2-4a4b-ab28-e652e4c957b1"/>
    <ds:schemaRef ds:uri="31033a21-b3f4-4282-b0ee-a81a43526c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FB6D8E-FCF3-4B62-8CB5-65C0E56B4B38}">
  <ds:schemaRefs>
    <ds:schemaRef ds:uri="http://schemas.microsoft.com/office/2006/metadata/properties"/>
    <ds:schemaRef ds:uri="http://schemas.microsoft.com/office/infopath/2007/PartnerControls"/>
    <ds:schemaRef ds:uri="11b467e7-c1ee-4e42-a284-f836c9c868b5"/>
    <ds:schemaRef ds:uri="31033a21-b3f4-4282-b0ee-a81a43526ce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1220</Words>
  <Characters>7620</Characters>
  <Application>Microsoft Office Word</Application>
  <DocSecurity>0</DocSecurity>
  <Lines>138</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 Cornett</dc:creator>
  <cp:lastModifiedBy>Sarah Jorgensen</cp:lastModifiedBy>
  <cp:revision>15</cp:revision>
  <cp:lastPrinted>2026-01-21T17:12:00Z</cp:lastPrinted>
  <dcterms:created xsi:type="dcterms:W3CDTF">2026-01-21T19:57:00Z</dcterms:created>
  <dcterms:modified xsi:type="dcterms:W3CDTF">2026-01-21T20:06:00Z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0x010100DDCF3E8FF66EC14AAA0028DD0E977B80</vt:lpwstr>
  </property>
  <property fmtid="{D5CDD505-2E9C-101B-9397-08002B2CF9AE}" pid="3" name="MediaServiceImageTags">
    <vt:lpwstr/>
  </property>
  <property fmtid="{D5CDD505-2E9C-101B-9397-08002B2CF9AE}" pid="4" name="docLang">
    <vt:lpwstr>en</vt:lpwstr>
  </property>
</Properties>
</file>