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C60DD" w14:textId="251A36A9" w:rsidR="00583963" w:rsidRDefault="00583963" w:rsidP="00857844"/>
    <w:p w14:paraId="6562AD81" w14:textId="08685780" w:rsidR="00583963" w:rsidRDefault="2ABB2EE5" w:rsidP="2ABB2EE5">
      <w:pPr>
        <w:rPr>
          <w:rFonts w:eastAsiaTheme="minorEastAsia"/>
        </w:rPr>
      </w:pPr>
      <w:r w:rsidRPr="2ABB2EE5">
        <w:rPr>
          <w:rFonts w:eastAsiaTheme="minorEastAsia"/>
        </w:rPr>
        <w:t xml:space="preserve">California Air Resources Board (CARB) </w:t>
      </w:r>
    </w:p>
    <w:p w14:paraId="3A436C4A" w14:textId="06F74806" w:rsidR="00583963" w:rsidRDefault="2ABB2EE5" w:rsidP="2ABB2EE5">
      <w:pPr>
        <w:rPr>
          <w:rFonts w:eastAsiaTheme="minorEastAsia"/>
        </w:rPr>
      </w:pPr>
      <w:r w:rsidRPr="2ABB2EE5">
        <w:rPr>
          <w:rFonts w:eastAsiaTheme="minorEastAsia"/>
        </w:rPr>
        <w:t>1001 I Street</w:t>
      </w:r>
    </w:p>
    <w:p w14:paraId="3621846D" w14:textId="46D2F558" w:rsidR="00583963" w:rsidRDefault="2ABB2EE5" w:rsidP="2ABB2EE5">
      <w:pPr>
        <w:rPr>
          <w:rFonts w:eastAsiaTheme="minorEastAsia"/>
        </w:rPr>
      </w:pPr>
      <w:r w:rsidRPr="2ABB2EE5">
        <w:rPr>
          <w:rFonts w:eastAsiaTheme="minorEastAsia"/>
        </w:rPr>
        <w:t>Sacramento, CA 95814</w:t>
      </w:r>
    </w:p>
    <w:p w14:paraId="76DF1457" w14:textId="77777777" w:rsidR="00583963" w:rsidRDefault="00583963" w:rsidP="2ABB2EE5">
      <w:pPr>
        <w:rPr>
          <w:rFonts w:eastAsiaTheme="minorEastAsia"/>
        </w:rPr>
      </w:pPr>
    </w:p>
    <w:p w14:paraId="5D294C31" w14:textId="453220BD" w:rsidR="00C5508A" w:rsidRDefault="2ABB2EE5" w:rsidP="2ABB2EE5">
      <w:pPr>
        <w:rPr>
          <w:rFonts w:eastAsiaTheme="minorEastAsia"/>
        </w:rPr>
      </w:pPr>
      <w:r w:rsidRPr="2ABB2EE5">
        <w:rPr>
          <w:rFonts w:eastAsiaTheme="minorEastAsia"/>
        </w:rPr>
        <w:t>December 8, 2025</w:t>
      </w:r>
    </w:p>
    <w:p w14:paraId="4E52C7FF" w14:textId="5DE7361B" w:rsidR="00427591" w:rsidRPr="00583963" w:rsidRDefault="2ABB2EE5" w:rsidP="2ABB2EE5">
      <w:pPr>
        <w:jc w:val="both"/>
        <w:rPr>
          <w:rFonts w:eastAsiaTheme="minorEastAsia"/>
          <w:b/>
          <w:bCs/>
        </w:rPr>
      </w:pPr>
      <w:r w:rsidRPr="2ABB2EE5">
        <w:rPr>
          <w:rFonts w:eastAsiaTheme="minorEastAsia"/>
          <w:b/>
          <w:bCs/>
        </w:rPr>
        <w:t xml:space="preserve">RE: Embodied Carbon Reporting </w:t>
      </w:r>
    </w:p>
    <w:p w14:paraId="2FBAF20F" w14:textId="393E72FD" w:rsidR="00583963" w:rsidRDefault="2ABB2EE5" w:rsidP="2ABB2EE5">
      <w:pPr>
        <w:spacing w:line="276" w:lineRule="auto"/>
        <w:jc w:val="both"/>
        <w:rPr>
          <w:rFonts w:eastAsiaTheme="minorEastAsia"/>
        </w:rPr>
      </w:pPr>
      <w:r w:rsidRPr="2ABB2EE5">
        <w:rPr>
          <w:rFonts w:eastAsiaTheme="minorEastAsia"/>
        </w:rPr>
        <w:t xml:space="preserve">On behalf of the Associated General Contractors (AGC) of California, we are submitting feedback to the California Air Resources Board (CARB) regarding the development of the Embodied Carbon Reporting Requirements for New Construction Projects. AGC of California is a member-driven statewide organization which consists of over 950 companies. Our members provide commercial construction services, which include the building of residential projects of 5 or more units, and structures with a combined area of at least </w:t>
      </w:r>
      <w:bookmarkStart w:id="0" w:name="_Int_cCsTV5Dz"/>
      <w:r w:rsidRPr="2ABB2EE5">
        <w:rPr>
          <w:rFonts w:eastAsiaTheme="minorEastAsia"/>
        </w:rPr>
        <w:t>10,000 square feet</w:t>
      </w:r>
      <w:bookmarkEnd w:id="0"/>
      <w:r w:rsidRPr="2ABB2EE5">
        <w:rPr>
          <w:rFonts w:eastAsiaTheme="minorEastAsia"/>
        </w:rPr>
        <w:t xml:space="preserve">.  </w:t>
      </w:r>
    </w:p>
    <w:p w14:paraId="20804D6F" w14:textId="43784C8D" w:rsidR="00583963" w:rsidRDefault="2ABB2EE5" w:rsidP="2ABB2EE5">
      <w:pPr>
        <w:rPr>
          <w:rFonts w:eastAsiaTheme="minorEastAsia"/>
        </w:rPr>
      </w:pPr>
      <w:r w:rsidRPr="2ABB2EE5">
        <w:rPr>
          <w:rFonts w:eastAsiaTheme="minorEastAsia"/>
        </w:rPr>
        <w:t xml:space="preserve">We appreciate CARB staff acknowledging that this program is still in its beginning phases, and we hope the following items can be addressed as foundational elements of program design </w:t>
      </w:r>
      <w:proofErr w:type="gramStart"/>
      <w:r w:rsidRPr="2ABB2EE5">
        <w:rPr>
          <w:rFonts w:eastAsiaTheme="minorEastAsia"/>
        </w:rPr>
        <w:t>moves</w:t>
      </w:r>
      <w:proofErr w:type="gramEnd"/>
      <w:r w:rsidRPr="2ABB2EE5">
        <w:rPr>
          <w:rFonts w:eastAsiaTheme="minorEastAsia"/>
        </w:rPr>
        <w:t xml:space="preserve"> forward. </w:t>
      </w:r>
    </w:p>
    <w:p w14:paraId="0550C33C" w14:textId="77777777" w:rsidR="00583963" w:rsidRDefault="2ABB2EE5" w:rsidP="2ABB2EE5">
      <w:pPr>
        <w:ind w:left="720"/>
        <w:rPr>
          <w:rFonts w:eastAsiaTheme="minorEastAsia"/>
        </w:rPr>
      </w:pPr>
      <w:r w:rsidRPr="2ABB2EE5">
        <w:rPr>
          <w:rFonts w:eastAsiaTheme="minorEastAsia"/>
        </w:rPr>
        <w:t>• Complexity of Jobsite Material Tracking Across Multiple Tiers</w:t>
      </w:r>
    </w:p>
    <w:p w14:paraId="065E9769" w14:textId="77777777" w:rsidR="00583963" w:rsidRDefault="2ABB2EE5" w:rsidP="2ABB2EE5">
      <w:pPr>
        <w:ind w:left="720"/>
        <w:rPr>
          <w:rFonts w:eastAsiaTheme="minorEastAsia"/>
        </w:rPr>
      </w:pPr>
      <w:r w:rsidRPr="2ABB2EE5">
        <w:rPr>
          <w:rFonts w:eastAsiaTheme="minorEastAsia"/>
        </w:rPr>
        <w:t>• Enforcement and Compliance Expectations</w:t>
      </w:r>
    </w:p>
    <w:p w14:paraId="53028A41" w14:textId="4912EE16" w:rsidR="00583963" w:rsidRDefault="2ABB2EE5" w:rsidP="2ABB2EE5">
      <w:pPr>
        <w:ind w:left="720"/>
        <w:rPr>
          <w:rFonts w:eastAsiaTheme="minorEastAsia"/>
        </w:rPr>
      </w:pPr>
      <w:r w:rsidRPr="2ABB2EE5">
        <w:rPr>
          <w:rFonts w:eastAsiaTheme="minorEastAsia"/>
        </w:rPr>
        <w:t>• Reporting Timeline and Reporting Responsibility</w:t>
      </w:r>
    </w:p>
    <w:p w14:paraId="502C89C8" w14:textId="71B567D6" w:rsidR="2ABB2EE5" w:rsidRDefault="2ABB2EE5" w:rsidP="2ABB2EE5">
      <w:pPr>
        <w:rPr>
          <w:rFonts w:eastAsiaTheme="minorEastAsia"/>
          <w:b/>
          <w:bCs/>
        </w:rPr>
      </w:pPr>
    </w:p>
    <w:p w14:paraId="237EBACE" w14:textId="3F1B6312" w:rsidR="00583963" w:rsidRPr="00583963" w:rsidRDefault="2ABB2EE5" w:rsidP="2ABB2EE5">
      <w:pPr>
        <w:rPr>
          <w:rFonts w:eastAsiaTheme="minorEastAsia"/>
          <w:b/>
          <w:bCs/>
        </w:rPr>
      </w:pPr>
      <w:r w:rsidRPr="2ABB2EE5">
        <w:rPr>
          <w:rFonts w:eastAsiaTheme="minorEastAsia"/>
          <w:b/>
          <w:bCs/>
        </w:rPr>
        <w:t>Complexity of Jobsite Material Tracking</w:t>
      </w:r>
    </w:p>
    <w:p w14:paraId="4335B8F7" w14:textId="2CF147E6" w:rsidR="00583963" w:rsidRDefault="2ABB2EE5" w:rsidP="2ABB2EE5">
      <w:pPr>
        <w:rPr>
          <w:rFonts w:eastAsiaTheme="minorEastAsia"/>
        </w:rPr>
      </w:pPr>
      <w:r w:rsidRPr="2ABB2EE5">
        <w:rPr>
          <w:rFonts w:eastAsiaTheme="minorEastAsia"/>
        </w:rPr>
        <w:t>Construction projects involve highly dynamic environments with dozens, sometimes hundreds of subcontractors, sub-tiers, vendors, and material deliveries, all occurring daily. Requiring accurate tracking of all covered building materials at the jobsite level will be extremely challenging without clear standards, templates, and systems. Ensuring accuracy would require multiple layers of communication among subcontractors, suppliers, and the general contractor. This will not only be burdensome on the large prime contractors, but the small subcontractors who lack the available compliance and reporting staff to deliver the requested documentation from their up-chains. We recommend CARB clearly define expectations and consider the administrative burden on contractors who must consolidate material data from numerous independent trade partners.</w:t>
      </w:r>
    </w:p>
    <w:p w14:paraId="0DA6C815" w14:textId="3993C0EB" w:rsidR="2ABB2EE5" w:rsidRDefault="2ABB2EE5" w:rsidP="2ABB2EE5">
      <w:pPr>
        <w:rPr>
          <w:rFonts w:eastAsiaTheme="minorEastAsia"/>
        </w:rPr>
      </w:pPr>
    </w:p>
    <w:p w14:paraId="0E831E85" w14:textId="0B43CDAA" w:rsidR="00583963" w:rsidRPr="00583963" w:rsidRDefault="2ABB2EE5" w:rsidP="2ABB2EE5">
      <w:pPr>
        <w:rPr>
          <w:rFonts w:eastAsiaTheme="minorEastAsia"/>
          <w:b/>
          <w:bCs/>
        </w:rPr>
      </w:pPr>
      <w:r w:rsidRPr="2ABB2EE5">
        <w:rPr>
          <w:rFonts w:eastAsiaTheme="minorEastAsia"/>
          <w:b/>
          <w:bCs/>
        </w:rPr>
        <w:t>Enforcement and Compliance Expectations</w:t>
      </w:r>
    </w:p>
    <w:p w14:paraId="5736870B" w14:textId="298CC361" w:rsidR="00583963" w:rsidRDefault="2ABB2EE5" w:rsidP="2ABB2EE5">
      <w:pPr>
        <w:rPr>
          <w:rFonts w:eastAsiaTheme="minorEastAsia"/>
        </w:rPr>
      </w:pPr>
      <w:r w:rsidRPr="2ABB2EE5">
        <w:rPr>
          <w:rFonts w:eastAsiaTheme="minorEastAsia"/>
        </w:rPr>
        <w:lastRenderedPageBreak/>
        <w:t>AGC has had discussions with CARB staff, and while we understand enforcement has not yet been addressed in detail, we believe this issue must be defined early. Contractors need to understand how compliance will be evaluated, what documentation must be retained, and how CARB will verify submitted reports. A clear enforcement framework, audits, inspections, penalties, or documentation reviews will help the industry prepare effective compliance systems from the outset rather than retrofitting them later.</w:t>
      </w:r>
    </w:p>
    <w:p w14:paraId="2172491A" w14:textId="341A0D4B" w:rsidR="2ABB2EE5" w:rsidRDefault="2ABB2EE5" w:rsidP="2ABB2EE5">
      <w:pPr>
        <w:rPr>
          <w:rFonts w:eastAsiaTheme="minorEastAsia"/>
          <w:b/>
          <w:bCs/>
        </w:rPr>
      </w:pPr>
    </w:p>
    <w:p w14:paraId="0A9AE75C" w14:textId="60C1EAAB" w:rsidR="00583963" w:rsidRPr="00583963" w:rsidRDefault="2ABB2EE5" w:rsidP="2ABB2EE5">
      <w:pPr>
        <w:rPr>
          <w:rFonts w:eastAsiaTheme="minorEastAsia"/>
          <w:b/>
          <w:bCs/>
        </w:rPr>
      </w:pPr>
      <w:r w:rsidRPr="2ABB2EE5">
        <w:rPr>
          <w:rFonts w:eastAsiaTheme="minorEastAsia"/>
          <w:b/>
          <w:bCs/>
        </w:rPr>
        <w:t>Reporting Timeline and Reporting Responsibility</w:t>
      </w:r>
    </w:p>
    <w:p w14:paraId="69136EBC" w14:textId="4AF8CA62" w:rsidR="00583963" w:rsidRDefault="2ABB2EE5" w:rsidP="2ABB2EE5">
      <w:pPr>
        <w:rPr>
          <w:rFonts w:eastAsiaTheme="minorEastAsia"/>
        </w:rPr>
      </w:pPr>
      <w:r w:rsidRPr="2ABB2EE5">
        <w:rPr>
          <w:rFonts w:eastAsiaTheme="minorEastAsia"/>
        </w:rPr>
        <w:t>There is uncertainty about when reporting is required and who is ultimately responsible for submitting reports. We request clarity on the following:</w:t>
      </w:r>
    </w:p>
    <w:p w14:paraId="298C22F3" w14:textId="6A03CD29" w:rsidR="00583963" w:rsidRDefault="2ABB2EE5" w:rsidP="2ABB2EE5">
      <w:pPr>
        <w:pStyle w:val="ListParagraph"/>
        <w:numPr>
          <w:ilvl w:val="0"/>
          <w:numId w:val="1"/>
        </w:numPr>
        <w:rPr>
          <w:rFonts w:asciiTheme="minorHAnsi" w:eastAsiaTheme="minorEastAsia" w:hAnsiTheme="minorHAnsi" w:cstheme="minorBidi"/>
          <w:sz w:val="22"/>
          <w:szCs w:val="22"/>
        </w:rPr>
      </w:pPr>
      <w:r w:rsidRPr="2ABB2EE5">
        <w:rPr>
          <w:rFonts w:asciiTheme="minorHAnsi" w:eastAsiaTheme="minorEastAsia" w:hAnsiTheme="minorHAnsi" w:cstheme="minorBidi"/>
          <w:sz w:val="22"/>
          <w:szCs w:val="22"/>
        </w:rPr>
        <w:t>Will reports be submitted yearly, listing materials installed during the previous calendar year?</w:t>
      </w:r>
    </w:p>
    <w:p w14:paraId="00259966" w14:textId="4127714A" w:rsidR="00583963" w:rsidRDefault="2ABB2EE5" w:rsidP="2ABB2EE5">
      <w:pPr>
        <w:pStyle w:val="ListParagraph"/>
        <w:numPr>
          <w:ilvl w:val="0"/>
          <w:numId w:val="1"/>
        </w:numPr>
        <w:rPr>
          <w:rFonts w:asciiTheme="minorHAnsi" w:eastAsiaTheme="minorEastAsia" w:hAnsiTheme="minorHAnsi" w:cstheme="minorBidi"/>
          <w:sz w:val="22"/>
          <w:szCs w:val="22"/>
        </w:rPr>
      </w:pPr>
      <w:r w:rsidRPr="2ABB2EE5">
        <w:rPr>
          <w:rFonts w:asciiTheme="minorHAnsi" w:eastAsiaTheme="minorEastAsia" w:hAnsiTheme="minorHAnsi" w:cstheme="minorBidi"/>
          <w:sz w:val="22"/>
          <w:szCs w:val="22"/>
        </w:rPr>
        <w:t>Will CARB require a final comprehensive report submitted once a project is fully complete?</w:t>
      </w:r>
    </w:p>
    <w:p w14:paraId="2427C952" w14:textId="6B19DF57" w:rsidR="00583963" w:rsidRDefault="2ABB2EE5" w:rsidP="2ABB2EE5">
      <w:pPr>
        <w:pStyle w:val="ListParagraph"/>
        <w:numPr>
          <w:ilvl w:val="0"/>
          <w:numId w:val="1"/>
        </w:numPr>
        <w:rPr>
          <w:rFonts w:asciiTheme="minorHAnsi" w:eastAsiaTheme="minorEastAsia" w:hAnsiTheme="minorHAnsi" w:cstheme="minorBidi"/>
          <w:sz w:val="22"/>
          <w:szCs w:val="22"/>
        </w:rPr>
      </w:pPr>
      <w:r w:rsidRPr="2ABB2EE5">
        <w:rPr>
          <w:rFonts w:asciiTheme="minorHAnsi" w:eastAsiaTheme="minorEastAsia" w:hAnsiTheme="minorHAnsi" w:cstheme="minorBidi"/>
          <w:sz w:val="22"/>
          <w:szCs w:val="22"/>
        </w:rPr>
        <w:t>Who is responsible for producing and submitting the report—the project owner, the general contractor, or a shared responsibility model?</w:t>
      </w:r>
    </w:p>
    <w:p w14:paraId="45B6E547" w14:textId="77777777" w:rsidR="0049156F" w:rsidRDefault="0049156F" w:rsidP="2ABB2EE5">
      <w:pPr>
        <w:pStyle w:val="ListParagraph"/>
        <w:rPr>
          <w:rFonts w:asciiTheme="minorHAnsi" w:eastAsiaTheme="minorEastAsia" w:hAnsiTheme="minorHAnsi" w:cstheme="minorBidi"/>
          <w:sz w:val="22"/>
          <w:szCs w:val="22"/>
        </w:rPr>
      </w:pPr>
    </w:p>
    <w:p w14:paraId="64FB5E1C" w14:textId="145EB48E" w:rsidR="00583963" w:rsidRDefault="2ABB2EE5" w:rsidP="2ABB2EE5">
      <w:pPr>
        <w:rPr>
          <w:rFonts w:eastAsiaTheme="minorEastAsia"/>
        </w:rPr>
      </w:pPr>
      <w:r w:rsidRPr="2ABB2EE5">
        <w:rPr>
          <w:rFonts w:eastAsiaTheme="minorEastAsia"/>
        </w:rPr>
        <w:t>If the owner is responsible, they will need full cooperation from the general contractor, who is the party holding most of the relevant information. If the general contractor is responsible, the reporting obligation must be clearly defined so contractors can build internal systems capable of meeting the requirement.</w:t>
      </w:r>
    </w:p>
    <w:p w14:paraId="38C6C42C" w14:textId="3C60AD04" w:rsidR="00A03173" w:rsidRDefault="2ABB2EE5" w:rsidP="2ABB2EE5">
      <w:pPr>
        <w:rPr>
          <w:rFonts w:eastAsiaTheme="minorEastAsia"/>
        </w:rPr>
      </w:pPr>
      <w:r w:rsidRPr="2ABB2EE5">
        <w:rPr>
          <w:rFonts w:eastAsiaTheme="minorEastAsia"/>
        </w:rPr>
        <w:t>AGC of California appreciates CARB’s ongoing engagement with industry stakeholders. We look forward to continuing collaboration to ensure this program is workable, consistent, and aligned with real-world construction practices.</w:t>
      </w:r>
    </w:p>
    <w:p w14:paraId="49F83C0C" w14:textId="47F854B4" w:rsidR="00A03173" w:rsidRDefault="006A58EB" w:rsidP="2ABB2EE5">
      <w:pPr>
        <w:rPr>
          <w:rFonts w:eastAsiaTheme="minorEastAsia"/>
        </w:rPr>
      </w:pPr>
      <w:r>
        <w:rPr>
          <w:rFonts w:eastAsiaTheme="minorEastAsia"/>
        </w:rPr>
        <w:t>Sincerely</w:t>
      </w:r>
      <w:r w:rsidR="00A03173">
        <w:rPr>
          <w:rFonts w:eastAsiaTheme="minorEastAsia"/>
        </w:rPr>
        <w:t xml:space="preserve">, </w:t>
      </w:r>
    </w:p>
    <w:p w14:paraId="4E7B7719" w14:textId="715D3316" w:rsidR="00A03173" w:rsidRDefault="006A58EB" w:rsidP="2ABB2EE5">
      <w:pPr>
        <w:rPr>
          <w:rFonts w:eastAsiaTheme="minorEastAsia"/>
        </w:rPr>
      </w:pPr>
      <w:r>
        <w:rPr>
          <w:rFonts w:eastAsiaTheme="minorEastAsia"/>
        </w:rPr>
        <w:t xml:space="preserve">Tresten Keys </w:t>
      </w:r>
    </w:p>
    <w:p w14:paraId="386C9EE0" w14:textId="019D45E7" w:rsidR="006A58EB" w:rsidRDefault="006A58EB" w:rsidP="2ABB2EE5">
      <w:pPr>
        <w:rPr>
          <w:rFonts w:eastAsiaTheme="minorEastAsia"/>
        </w:rPr>
      </w:pPr>
      <w:r>
        <w:rPr>
          <w:rFonts w:eastAsiaTheme="minorEastAsia"/>
        </w:rPr>
        <w:t xml:space="preserve">Safety and Regulatory Affairs Manager </w:t>
      </w:r>
    </w:p>
    <w:p w14:paraId="5B79BCFA" w14:textId="0AC2D8FD" w:rsidR="006A58EB" w:rsidRDefault="006A58EB" w:rsidP="2ABB2EE5">
      <w:pPr>
        <w:rPr>
          <w:rFonts w:eastAsiaTheme="minorEastAsia"/>
        </w:rPr>
      </w:pPr>
      <w:r>
        <w:rPr>
          <w:rFonts w:eastAsiaTheme="minorEastAsia"/>
        </w:rPr>
        <w:t>Associated General Contractors of California</w:t>
      </w:r>
    </w:p>
    <w:p w14:paraId="283E56C2" w14:textId="77777777" w:rsidR="00583963" w:rsidRDefault="00583963" w:rsidP="2ABB2EE5">
      <w:pPr>
        <w:spacing w:line="276" w:lineRule="auto"/>
        <w:jc w:val="both"/>
        <w:rPr>
          <w:rFonts w:ascii="Lato" w:hAnsi="Lato"/>
        </w:rPr>
      </w:pPr>
    </w:p>
    <w:p w14:paraId="5B5FD76F" w14:textId="3BC41F27" w:rsidR="00427591" w:rsidRDefault="00427591" w:rsidP="2ABB2EE5">
      <w:pPr>
        <w:jc w:val="both"/>
      </w:pPr>
    </w:p>
    <w:p w14:paraId="145CE3BF" w14:textId="77777777" w:rsidR="00C5508A" w:rsidRDefault="00C5508A" w:rsidP="2ABB2EE5">
      <w:pPr>
        <w:jc w:val="both"/>
      </w:pPr>
    </w:p>
    <w:p w14:paraId="4EA505D1" w14:textId="77777777" w:rsidR="00427591" w:rsidRDefault="00427591" w:rsidP="2ABB2EE5">
      <w:pPr>
        <w:jc w:val="both"/>
      </w:pPr>
    </w:p>
    <w:p w14:paraId="19408396" w14:textId="77777777" w:rsidR="00C5508A" w:rsidRPr="003B37FD" w:rsidRDefault="00C5508A" w:rsidP="2ABB2EE5">
      <w:pPr>
        <w:pStyle w:val="paragraph"/>
        <w:spacing w:before="0" w:beforeAutospacing="0" w:after="0" w:afterAutospacing="0"/>
        <w:textAlignment w:val="baseline"/>
        <w:rPr>
          <w:rFonts w:ascii="Lato" w:hAnsi="Lato" w:cs="Segoe UI"/>
          <w:sz w:val="22"/>
          <w:szCs w:val="22"/>
        </w:rPr>
      </w:pPr>
    </w:p>
    <w:p w14:paraId="706D1B81" w14:textId="77777777" w:rsidR="008A0870" w:rsidRDefault="008A0870" w:rsidP="2ABB2EE5"/>
    <w:sectPr w:rsidR="008A0870">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BACF" w14:textId="77777777" w:rsidR="0009383A" w:rsidRDefault="0009383A">
      <w:pPr>
        <w:spacing w:after="0" w:line="240" w:lineRule="auto"/>
      </w:pPr>
      <w:r>
        <w:separator/>
      </w:r>
    </w:p>
  </w:endnote>
  <w:endnote w:type="continuationSeparator" w:id="0">
    <w:p w14:paraId="2B1F0F90" w14:textId="77777777" w:rsidR="0009383A" w:rsidRDefault="0009383A">
      <w:pPr>
        <w:spacing w:after="0" w:line="240" w:lineRule="auto"/>
      </w:pPr>
      <w:r>
        <w:continuationSeparator/>
      </w:r>
    </w:p>
  </w:endnote>
  <w:endnote w:type="continuationNotice" w:id="1">
    <w:p w14:paraId="0BE2F7EA" w14:textId="77777777" w:rsidR="0009383A" w:rsidRDefault="000938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9D9B" w14:textId="77777777" w:rsidR="007176E1" w:rsidRDefault="00AF3625">
    <w:pPr>
      <w:pStyle w:val="Footer"/>
    </w:pPr>
    <w:r w:rsidRPr="000E409B">
      <w:rPr>
        <w:noProof/>
      </w:rPr>
      <w:drawing>
        <wp:anchor distT="0" distB="0" distL="114300" distR="114300" simplePos="0" relativeHeight="251658246" behindDoc="1" locked="0" layoutInCell="1" allowOverlap="1" wp14:anchorId="2642901A" wp14:editId="629EFEB9">
          <wp:simplePos x="0" y="0"/>
          <wp:positionH relativeFrom="column">
            <wp:posOffset>3893185</wp:posOffset>
          </wp:positionH>
          <wp:positionV relativeFrom="page">
            <wp:posOffset>6759575</wp:posOffset>
          </wp:positionV>
          <wp:extent cx="3728085" cy="3728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5000"/>
                    <a:extLst>
                      <a:ext uri="{28A0092B-C50C-407E-A947-70E740481C1C}">
                        <a14:useLocalDpi xmlns:a14="http://schemas.microsoft.com/office/drawing/2010/main" val="0"/>
                      </a:ext>
                    </a:extLst>
                  </a:blip>
                  <a:stretch>
                    <a:fillRect/>
                  </a:stretch>
                </pic:blipFill>
                <pic:spPr>
                  <a:xfrm>
                    <a:off x="0" y="0"/>
                    <a:ext cx="3728085" cy="3728085"/>
                  </a:xfrm>
                  <a:prstGeom prst="rect">
                    <a:avLst/>
                  </a:prstGeom>
                </pic:spPr>
              </pic:pic>
            </a:graphicData>
          </a:graphic>
          <wp14:sizeRelH relativeFrom="page">
            <wp14:pctWidth>0</wp14:pctWidth>
          </wp14:sizeRelH>
          <wp14:sizeRelV relativeFrom="page">
            <wp14:pctHeight>0</wp14:pctHeight>
          </wp14:sizeRelV>
        </wp:anchor>
      </w:drawing>
    </w:r>
    <w:r w:rsidRPr="000E409B">
      <w:rPr>
        <w:noProof/>
      </w:rPr>
      <mc:AlternateContent>
        <mc:Choice Requires="wps">
          <w:drawing>
            <wp:anchor distT="0" distB="0" distL="114300" distR="114300" simplePos="0" relativeHeight="251658245" behindDoc="0" locked="0" layoutInCell="1" allowOverlap="1" wp14:anchorId="089EF1C7" wp14:editId="54AE085A">
              <wp:simplePos x="0" y="0"/>
              <wp:positionH relativeFrom="column">
                <wp:posOffset>15875</wp:posOffset>
              </wp:positionH>
              <wp:positionV relativeFrom="paragraph">
                <wp:posOffset>-454660</wp:posOffset>
              </wp:positionV>
              <wp:extent cx="5255895" cy="0"/>
              <wp:effectExtent l="0" t="0" r="14605" b="12700"/>
              <wp:wrapNone/>
              <wp:docPr id="14" name="Straight Connector 14"/>
              <wp:cNvGraphicFramePr/>
              <a:graphic xmlns:a="http://schemas.openxmlformats.org/drawingml/2006/main">
                <a:graphicData uri="http://schemas.microsoft.com/office/word/2010/wordprocessingShape">
                  <wps:wsp>
                    <wps:cNvCnPr/>
                    <wps:spPr>
                      <a:xfrm>
                        <a:off x="0" y="0"/>
                        <a:ext cx="5255895" cy="0"/>
                      </a:xfrm>
                      <a:prstGeom prst="line">
                        <a:avLst/>
                      </a:prstGeom>
                      <a:ln w="12700">
                        <a:solidFill>
                          <a:srgbClr val="E24E46"/>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14"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24e46" strokeweight="1pt" from="1.25pt,-35.8pt" to="415.1pt,-35.8pt" w14:anchorId="68081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">
              <v:stroke joinstyle="miter"/>
            </v:line>
          </w:pict>
        </mc:Fallback>
      </mc:AlternateContent>
    </w:r>
    <w:r w:rsidRPr="000E409B">
      <w:rPr>
        <w:noProof/>
      </w:rPr>
      <mc:AlternateContent>
        <mc:Choice Requires="wps">
          <w:drawing>
            <wp:anchor distT="0" distB="0" distL="114300" distR="114300" simplePos="0" relativeHeight="251658244" behindDoc="1" locked="0" layoutInCell="1" allowOverlap="1" wp14:anchorId="33835337" wp14:editId="501C3BBF">
              <wp:simplePos x="0" y="0"/>
              <wp:positionH relativeFrom="column">
                <wp:posOffset>0</wp:posOffset>
              </wp:positionH>
              <wp:positionV relativeFrom="page">
                <wp:posOffset>9134759</wp:posOffset>
              </wp:positionV>
              <wp:extent cx="4182110" cy="436245"/>
              <wp:effectExtent l="0" t="0" r="8890" b="0"/>
              <wp:wrapNone/>
              <wp:docPr id="13" name="Text Box 13"/>
              <wp:cNvGraphicFramePr/>
              <a:graphic xmlns:a="http://schemas.openxmlformats.org/drawingml/2006/main">
                <a:graphicData uri="http://schemas.microsoft.com/office/word/2010/wordprocessingShape">
                  <wps:wsp>
                    <wps:cNvSpPr txBox="1"/>
                    <wps:spPr>
                      <a:xfrm>
                        <a:off x="0" y="0"/>
                        <a:ext cx="4182110" cy="436245"/>
                      </a:xfrm>
                      <a:prstGeom prst="rect">
                        <a:avLst/>
                      </a:prstGeom>
                      <a:noFill/>
                      <a:ln w="6350">
                        <a:noFill/>
                      </a:ln>
                    </wps:spPr>
                    <wps:txbx>
                      <w:txbxContent>
                        <w:p w14:paraId="49C6F66A" w14:textId="77777777" w:rsidR="007176E1" w:rsidRPr="00F404D2" w:rsidRDefault="00AF3625">
                          <w:pPr>
                            <w:pStyle w:val="FooterRed"/>
                            <w:rPr>
                              <w:color w:val="0D0D0D" w:themeColor="text1" w:themeTint="F2"/>
                            </w:rPr>
                          </w:pPr>
                          <w:r w:rsidRPr="00F404D2">
                            <w:rPr>
                              <w:color w:val="0D0D0D" w:themeColor="text1" w:themeTint="F2"/>
                            </w:rPr>
                            <w:t>The Voice of the Construction Industry</w:t>
                          </w:r>
                        </w:p>
                        <w:p w14:paraId="70E81686" w14:textId="77777777" w:rsidR="007176E1" w:rsidRPr="00470AAA" w:rsidRDefault="00AF3625">
                          <w:pPr>
                            <w:pStyle w:val="FooterRed"/>
                          </w:pPr>
                          <w:r w:rsidRPr="00470AAA">
                            <w:t>The Associated General Contractors of California   |</w:t>
                          </w:r>
                          <w:r>
                            <w:t xml:space="preserve"> </w:t>
                          </w:r>
                          <w:r w:rsidRPr="00470AAA">
                            <w:t xml:space="preserve">  </w:t>
                          </w:r>
                          <w:r w:rsidRPr="00A540F0">
                            <w:t>agc-ca.org</w:t>
                          </w:r>
                        </w:p>
                        <w:p w14:paraId="12B5009A" w14:textId="77777777" w:rsidR="007176E1" w:rsidRPr="001B756A" w:rsidRDefault="007176E1">
                          <w:pPr>
                            <w:pStyle w:val="FooterRed"/>
                            <w:rPr>
                              <w:sz w:val="24"/>
                              <w:szCs w:val="2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3835337">
              <v:stroke joinstyle="miter"/>
              <v:path gradientshapeok="t" o:connecttype="rect"/>
            </v:shapetype>
            <v:shape id="Text Box 13" style="position:absolute;margin-left:0;margin-top:719.25pt;width:329.3pt;height:34.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">
              <v:textbox inset="0,0,0">
                <w:txbxContent>
                  <w:p w:rsidRPr="00F404D2" w:rsidR="007176E1" w:rsidRDefault="00AF3625" w14:paraId="49C6F66A" w14:textId="77777777">
                    <w:pPr>
                      <w:pStyle w:val="FooterRed"/>
                      <w:rPr>
                        <w:color w:val="0D0D0D" w:themeColor="text1" w:themeTint="F2"/>
                      </w:rPr>
                    </w:pPr>
                    <w:r w:rsidRPr="00F404D2">
                      <w:rPr>
                        <w:color w:val="0D0D0D" w:themeColor="text1" w:themeTint="F2"/>
                      </w:rPr>
                      <w:t>The Voice of the Construction Industry</w:t>
                    </w:r>
                  </w:p>
                  <w:p w:rsidRPr="00470AAA" w:rsidR="007176E1" w:rsidRDefault="00AF3625" w14:paraId="70E81686" w14:textId="77777777">
                    <w:pPr>
                      <w:pStyle w:val="FooterRed"/>
                    </w:pPr>
                    <w:r w:rsidRPr="00470AAA">
                      <w:t>The Associated General Contractors of California   |</w:t>
                    </w:r>
                    <w:r>
                      <w:t xml:space="preserve"> </w:t>
                    </w:r>
                    <w:r w:rsidRPr="00470AAA">
                      <w:t xml:space="preserve">  </w:t>
                    </w:r>
                    <w:r w:rsidRPr="00A540F0">
                      <w:t>agc-ca.org</w:t>
                    </w:r>
                  </w:p>
                  <w:p w:rsidRPr="001B756A" w:rsidR="007176E1" w:rsidRDefault="007176E1" w14:paraId="12B5009A" w14:textId="77777777">
                    <w:pPr>
                      <w:pStyle w:val="FooterRed"/>
                      <w:rPr>
                        <w:sz w:val="24"/>
                        <w:szCs w:val="24"/>
                      </w:rPr>
                    </w:pP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31A8" w14:textId="77777777" w:rsidR="007176E1" w:rsidRDefault="00AF3625">
    <w:pPr>
      <w:pStyle w:val="Footer"/>
    </w:pPr>
    <w:r w:rsidRPr="000E409B">
      <w:rPr>
        <w:noProof/>
      </w:rPr>
      <w:drawing>
        <wp:anchor distT="0" distB="0" distL="114300" distR="114300" simplePos="0" relativeHeight="251658242" behindDoc="1" locked="0" layoutInCell="1" allowOverlap="1" wp14:anchorId="0FABAD64" wp14:editId="48279804">
          <wp:simplePos x="0" y="0"/>
          <wp:positionH relativeFrom="column">
            <wp:posOffset>3879215</wp:posOffset>
          </wp:positionH>
          <wp:positionV relativeFrom="page">
            <wp:posOffset>6904990</wp:posOffset>
          </wp:positionV>
          <wp:extent cx="3766292" cy="3728120"/>
          <wp:effectExtent l="0" t="0" r="5715"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4000"/>
                    <a:extLst>
                      <a:ext uri="{28A0092B-C50C-407E-A947-70E740481C1C}">
                        <a14:useLocalDpi xmlns:a14="http://schemas.microsoft.com/office/drawing/2010/main" val="0"/>
                      </a:ext>
                    </a:extLst>
                  </a:blip>
                  <a:stretch>
                    <a:fillRect/>
                  </a:stretch>
                </pic:blipFill>
                <pic:spPr>
                  <a:xfrm>
                    <a:off x="0" y="0"/>
                    <a:ext cx="3766292" cy="3728120"/>
                  </a:xfrm>
                  <a:prstGeom prst="rect">
                    <a:avLst/>
                  </a:prstGeom>
                </pic:spPr>
              </pic:pic>
            </a:graphicData>
          </a:graphic>
          <wp14:sizeRelH relativeFrom="page">
            <wp14:pctWidth>0</wp14:pctWidth>
          </wp14:sizeRelH>
          <wp14:sizeRelV relativeFrom="page">
            <wp14:pctHeight>0</wp14:pctHeight>
          </wp14:sizeRelV>
        </wp:anchor>
      </w:drawing>
    </w:r>
    <w:r w:rsidRPr="000E409B">
      <w:rPr>
        <w:noProof/>
      </w:rPr>
      <mc:AlternateContent>
        <mc:Choice Requires="wps">
          <w:drawing>
            <wp:anchor distT="0" distB="0" distL="114300" distR="114300" simplePos="0" relativeHeight="251658241" behindDoc="0" locked="0" layoutInCell="1" allowOverlap="1" wp14:anchorId="31FF9E41" wp14:editId="3667046C">
              <wp:simplePos x="0" y="0"/>
              <wp:positionH relativeFrom="column">
                <wp:posOffset>15875</wp:posOffset>
              </wp:positionH>
              <wp:positionV relativeFrom="paragraph">
                <wp:posOffset>-523240</wp:posOffset>
              </wp:positionV>
              <wp:extent cx="5255895" cy="0"/>
              <wp:effectExtent l="0" t="0" r="14605" b="12700"/>
              <wp:wrapNone/>
              <wp:docPr id="10" name="Straight Connector 10"/>
              <wp:cNvGraphicFramePr/>
              <a:graphic xmlns:a="http://schemas.openxmlformats.org/drawingml/2006/main">
                <a:graphicData uri="http://schemas.microsoft.com/office/word/2010/wordprocessingShape">
                  <wps:wsp>
                    <wps:cNvCnPr/>
                    <wps:spPr>
                      <a:xfrm>
                        <a:off x="0" y="0"/>
                        <a:ext cx="5255895" cy="0"/>
                      </a:xfrm>
                      <a:prstGeom prst="line">
                        <a:avLst/>
                      </a:prstGeom>
                      <a:ln w="12700">
                        <a:solidFill>
                          <a:srgbClr val="B22433"/>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10"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22433" strokeweight="1pt" from="1.25pt,-41.2pt" to="415.1pt,-41.2pt" w14:anchorId="1D89F9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">
              <v:stroke joinstyle="miter"/>
            </v:line>
          </w:pict>
        </mc:Fallback>
      </mc:AlternateContent>
    </w:r>
    <w:r w:rsidRPr="000E409B">
      <w:rPr>
        <w:noProof/>
      </w:rPr>
      <mc:AlternateContent>
        <mc:Choice Requires="wps">
          <w:drawing>
            <wp:anchor distT="0" distB="0" distL="114300" distR="114300" simplePos="0" relativeHeight="251658240" behindDoc="1" locked="0" layoutInCell="1" allowOverlap="1" wp14:anchorId="292170C9" wp14:editId="02F0A8CA">
              <wp:simplePos x="0" y="0"/>
              <wp:positionH relativeFrom="column">
                <wp:posOffset>0</wp:posOffset>
              </wp:positionH>
              <wp:positionV relativeFrom="page">
                <wp:posOffset>9066530</wp:posOffset>
              </wp:positionV>
              <wp:extent cx="4182110" cy="436245"/>
              <wp:effectExtent l="0" t="0" r="8890" b="0"/>
              <wp:wrapNone/>
              <wp:docPr id="11" name="Text Box 11"/>
              <wp:cNvGraphicFramePr/>
              <a:graphic xmlns:a="http://schemas.openxmlformats.org/drawingml/2006/main">
                <a:graphicData uri="http://schemas.microsoft.com/office/word/2010/wordprocessingShape">
                  <wps:wsp>
                    <wps:cNvSpPr txBox="1"/>
                    <wps:spPr>
                      <a:xfrm>
                        <a:off x="0" y="0"/>
                        <a:ext cx="4182110" cy="436245"/>
                      </a:xfrm>
                      <a:prstGeom prst="rect">
                        <a:avLst/>
                      </a:prstGeom>
                      <a:noFill/>
                      <a:ln w="6350">
                        <a:noFill/>
                      </a:ln>
                    </wps:spPr>
                    <wps:txbx>
                      <w:txbxContent>
                        <w:p w14:paraId="44E4D967" w14:textId="77777777" w:rsidR="007176E1" w:rsidRPr="00F404D2" w:rsidRDefault="00AF3625">
                          <w:pPr>
                            <w:pStyle w:val="FooterRed"/>
                            <w:rPr>
                              <w:color w:val="0D0D0D" w:themeColor="text1" w:themeTint="F2"/>
                            </w:rPr>
                          </w:pPr>
                          <w:r w:rsidRPr="00F404D2">
                            <w:rPr>
                              <w:color w:val="0D0D0D" w:themeColor="text1" w:themeTint="F2"/>
                            </w:rPr>
                            <w:t>The Voice of the Construction Industry</w:t>
                          </w:r>
                        </w:p>
                        <w:p w14:paraId="1A752CDF" w14:textId="77777777" w:rsidR="007176E1" w:rsidRPr="00470AAA" w:rsidRDefault="00AF3625">
                          <w:pPr>
                            <w:pStyle w:val="FooterRed"/>
                          </w:pPr>
                          <w:r w:rsidRPr="00470AAA">
                            <w:t>The Associated General Contractors of California   |</w:t>
                          </w:r>
                          <w:r>
                            <w:t xml:space="preserve"> </w:t>
                          </w:r>
                          <w:r w:rsidRPr="00470AAA">
                            <w:t xml:space="preserve">  </w:t>
                          </w:r>
                          <w:r w:rsidRPr="00A540F0">
                            <w:t>agc-ca.org</w:t>
                          </w:r>
                        </w:p>
                        <w:p w14:paraId="1C47226F" w14:textId="77777777" w:rsidR="007176E1" w:rsidRPr="001B756A" w:rsidRDefault="007176E1">
                          <w:pPr>
                            <w:pStyle w:val="FooterRed"/>
                            <w:rPr>
                              <w:sz w:val="24"/>
                              <w:szCs w:val="2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92170C9">
              <v:stroke joinstyle="miter"/>
              <v:path gradientshapeok="t" o:connecttype="rect"/>
            </v:shapetype>
            <v:shape id="Text Box 11" style="position:absolute;margin-left:0;margin-top:713.9pt;width:329.3pt;height:3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">
              <v:textbox inset="0,0,0">
                <w:txbxContent>
                  <w:p w:rsidRPr="00F404D2" w:rsidR="007176E1" w:rsidRDefault="00AF3625" w14:paraId="44E4D967" w14:textId="77777777">
                    <w:pPr>
                      <w:pStyle w:val="FooterRed"/>
                      <w:rPr>
                        <w:color w:val="0D0D0D" w:themeColor="text1" w:themeTint="F2"/>
                      </w:rPr>
                    </w:pPr>
                    <w:r w:rsidRPr="00F404D2">
                      <w:rPr>
                        <w:color w:val="0D0D0D" w:themeColor="text1" w:themeTint="F2"/>
                      </w:rPr>
                      <w:t>The Voice of the Construction Industry</w:t>
                    </w:r>
                  </w:p>
                  <w:p w:rsidRPr="00470AAA" w:rsidR="007176E1" w:rsidRDefault="00AF3625" w14:paraId="1A752CDF" w14:textId="77777777">
                    <w:pPr>
                      <w:pStyle w:val="FooterRed"/>
                    </w:pPr>
                    <w:r w:rsidRPr="00470AAA">
                      <w:t>The Associated General Contractors of California   |</w:t>
                    </w:r>
                    <w:r>
                      <w:t xml:space="preserve"> </w:t>
                    </w:r>
                    <w:r w:rsidRPr="00470AAA">
                      <w:t xml:space="preserve">  </w:t>
                    </w:r>
                    <w:r w:rsidRPr="00A540F0">
                      <w:t>agc-ca.org</w:t>
                    </w:r>
                  </w:p>
                  <w:p w:rsidRPr="001B756A" w:rsidR="007176E1" w:rsidRDefault="007176E1" w14:paraId="1C47226F" w14:textId="77777777">
                    <w:pPr>
                      <w:pStyle w:val="FooterRed"/>
                      <w:rPr>
                        <w:sz w:val="24"/>
                        <w:szCs w:val="24"/>
                      </w:rPr>
                    </w:pPr>
                  </w:p>
                </w:txbxContent>
              </v:textbox>
              <w10:wrap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B2DB5" w14:textId="77777777" w:rsidR="0009383A" w:rsidRDefault="0009383A">
      <w:pPr>
        <w:spacing w:after="0" w:line="240" w:lineRule="auto"/>
      </w:pPr>
      <w:r>
        <w:separator/>
      </w:r>
    </w:p>
  </w:footnote>
  <w:footnote w:type="continuationSeparator" w:id="0">
    <w:p w14:paraId="1BB3FD47" w14:textId="77777777" w:rsidR="0009383A" w:rsidRDefault="0009383A">
      <w:pPr>
        <w:spacing w:after="0" w:line="240" w:lineRule="auto"/>
      </w:pPr>
      <w:r>
        <w:continuationSeparator/>
      </w:r>
    </w:p>
  </w:footnote>
  <w:footnote w:type="continuationNotice" w:id="1">
    <w:p w14:paraId="4E06AF34" w14:textId="77777777" w:rsidR="0009383A" w:rsidRDefault="000938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B15F" w14:textId="77777777" w:rsidR="007176E1" w:rsidRDefault="00AF3625">
    <w:pPr>
      <w:pStyle w:val="Header"/>
    </w:pPr>
    <w:r w:rsidRPr="000E409B">
      <w:rPr>
        <w:noProof/>
      </w:rPr>
      <w:drawing>
        <wp:anchor distT="0" distB="0" distL="114300" distR="114300" simplePos="0" relativeHeight="251658247" behindDoc="0" locked="0" layoutInCell="1" allowOverlap="1" wp14:anchorId="6C0894FF" wp14:editId="2048DC92">
          <wp:simplePos x="0" y="0"/>
          <wp:positionH relativeFrom="column">
            <wp:posOffset>-38100</wp:posOffset>
          </wp:positionH>
          <wp:positionV relativeFrom="page">
            <wp:posOffset>933450</wp:posOffset>
          </wp:positionV>
          <wp:extent cx="1078230" cy="673735"/>
          <wp:effectExtent l="0" t="0" r="762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78230" cy="67373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64D9" w14:textId="77777777" w:rsidR="007176E1" w:rsidRDefault="00AF3625">
    <w:pPr>
      <w:pStyle w:val="Header"/>
    </w:pPr>
    <w:r w:rsidRPr="001908A2">
      <w:rPr>
        <w:noProof/>
      </w:rPr>
      <w:drawing>
        <wp:anchor distT="0" distB="0" distL="114300" distR="114300" simplePos="0" relativeHeight="251658243" behindDoc="0" locked="0" layoutInCell="1" allowOverlap="1" wp14:anchorId="662CF543" wp14:editId="65C9F43D">
          <wp:simplePos x="0" y="0"/>
          <wp:positionH relativeFrom="column">
            <wp:posOffset>0</wp:posOffset>
          </wp:positionH>
          <wp:positionV relativeFrom="page">
            <wp:posOffset>607060</wp:posOffset>
          </wp:positionV>
          <wp:extent cx="1078230" cy="893445"/>
          <wp:effectExtent l="0" t="0" r="1270" b="0"/>
          <wp:wrapThrough wrapText="bothSides">
            <wp:wrapPolygon edited="0">
              <wp:start x="11703" y="0"/>
              <wp:lineTo x="10431" y="614"/>
              <wp:lineTo x="7378" y="4299"/>
              <wp:lineTo x="3562" y="7369"/>
              <wp:lineTo x="0" y="9518"/>
              <wp:lineTo x="0" y="21186"/>
              <wp:lineTo x="21371" y="21186"/>
              <wp:lineTo x="21371" y="16580"/>
              <wp:lineTo x="20862" y="15659"/>
              <wp:lineTo x="17809" y="14738"/>
              <wp:lineTo x="20862" y="10439"/>
              <wp:lineTo x="21117" y="4299"/>
              <wp:lineTo x="18064" y="921"/>
              <wp:lineTo x="16283" y="0"/>
              <wp:lineTo x="11703"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78230" cy="89344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cCsTV5Dz" int2:invalidationBookmarkName="" int2:hashCode="sjSBzHawanu1tE" int2:id="YmZf4LX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8641D"/>
    <w:multiLevelType w:val="hybridMultilevel"/>
    <w:tmpl w:val="8F9E2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658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25"/>
    <w:rsid w:val="000146FB"/>
    <w:rsid w:val="0009383A"/>
    <w:rsid w:val="00100594"/>
    <w:rsid w:val="00105462"/>
    <w:rsid w:val="001306B4"/>
    <w:rsid w:val="00192DCD"/>
    <w:rsid w:val="00225942"/>
    <w:rsid w:val="00270588"/>
    <w:rsid w:val="00271383"/>
    <w:rsid w:val="00271FA5"/>
    <w:rsid w:val="003E4ECB"/>
    <w:rsid w:val="00427591"/>
    <w:rsid w:val="00462759"/>
    <w:rsid w:val="00485E0A"/>
    <w:rsid w:val="0049156F"/>
    <w:rsid w:val="004C7330"/>
    <w:rsid w:val="00536ADD"/>
    <w:rsid w:val="00583963"/>
    <w:rsid w:val="005B420A"/>
    <w:rsid w:val="00652A74"/>
    <w:rsid w:val="006A58EB"/>
    <w:rsid w:val="006B7707"/>
    <w:rsid w:val="007176E1"/>
    <w:rsid w:val="007440D4"/>
    <w:rsid w:val="007E2976"/>
    <w:rsid w:val="0084659A"/>
    <w:rsid w:val="00857844"/>
    <w:rsid w:val="008839AC"/>
    <w:rsid w:val="00886031"/>
    <w:rsid w:val="008A0870"/>
    <w:rsid w:val="009167AE"/>
    <w:rsid w:val="009C1812"/>
    <w:rsid w:val="009C3A8D"/>
    <w:rsid w:val="009D53EB"/>
    <w:rsid w:val="00A03173"/>
    <w:rsid w:val="00AC6BB7"/>
    <w:rsid w:val="00AF3625"/>
    <w:rsid w:val="00B25BA4"/>
    <w:rsid w:val="00B5390B"/>
    <w:rsid w:val="00BC22C9"/>
    <w:rsid w:val="00C5508A"/>
    <w:rsid w:val="00CE5606"/>
    <w:rsid w:val="00DA036F"/>
    <w:rsid w:val="00DA122E"/>
    <w:rsid w:val="00EC26BF"/>
    <w:rsid w:val="00EE6367"/>
    <w:rsid w:val="00EF5A37"/>
    <w:rsid w:val="00F8194F"/>
    <w:rsid w:val="00FC5FD5"/>
    <w:rsid w:val="00FE30F5"/>
    <w:rsid w:val="21338244"/>
    <w:rsid w:val="2ABB2EE5"/>
    <w:rsid w:val="2C2A5E75"/>
    <w:rsid w:val="6DCCDF44"/>
    <w:rsid w:val="7A13681A"/>
    <w:rsid w:val="7B172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22233"/>
  <w15:chartTrackingRefBased/>
  <w15:docId w15:val="{25B75CC6-5773-4850-BCDB-F8AA2D15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5508A"/>
    <w:pPr>
      <w:keepNext/>
      <w:tabs>
        <w:tab w:val="left" w:pos="4320"/>
      </w:tabs>
      <w:spacing w:after="0" w:line="240" w:lineRule="auto"/>
      <w:jc w:val="both"/>
      <w:outlineLvl w:val="0"/>
    </w:pPr>
    <w:rPr>
      <w:rFonts w:ascii="Script MT Bold" w:eastAsia="Times New Roman" w:hAnsi="Script MT Bold" w:cs="Times New Roman"/>
      <w:sz w:val="36"/>
      <w:szCs w:val="20"/>
    </w:rPr>
  </w:style>
  <w:style w:type="paragraph" w:styleId="Heading2">
    <w:name w:val="heading 2"/>
    <w:basedOn w:val="Normal"/>
    <w:next w:val="Normal"/>
    <w:link w:val="Heading2Char"/>
    <w:qFormat/>
    <w:rsid w:val="00C5508A"/>
    <w:pPr>
      <w:keepNext/>
      <w:tabs>
        <w:tab w:val="left" w:pos="4320"/>
      </w:tabs>
      <w:spacing w:after="0" w:line="240" w:lineRule="auto"/>
      <w:jc w:val="both"/>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625"/>
    <w:pPr>
      <w:tabs>
        <w:tab w:val="center" w:pos="4680"/>
        <w:tab w:val="right" w:pos="9360"/>
      </w:tabs>
      <w:adjustRightInd w:val="0"/>
      <w:spacing w:after="0" w:line="240" w:lineRule="auto"/>
    </w:pPr>
    <w:rPr>
      <w:rFonts w:ascii="Lato" w:hAnsi="Lato" w:cs="Times New Roman (Body CS)"/>
      <w:sz w:val="20"/>
      <w:szCs w:val="20"/>
    </w:rPr>
  </w:style>
  <w:style w:type="character" w:customStyle="1" w:styleId="HeaderChar">
    <w:name w:val="Header Char"/>
    <w:basedOn w:val="DefaultParagraphFont"/>
    <w:link w:val="Header"/>
    <w:uiPriority w:val="99"/>
    <w:rsid w:val="00AF3625"/>
    <w:rPr>
      <w:rFonts w:ascii="Lato" w:hAnsi="Lato" w:cs="Times New Roman (Body CS)"/>
      <w:sz w:val="20"/>
      <w:szCs w:val="20"/>
    </w:rPr>
  </w:style>
  <w:style w:type="paragraph" w:styleId="Footer">
    <w:name w:val="footer"/>
    <w:basedOn w:val="Normal"/>
    <w:link w:val="FooterChar"/>
    <w:uiPriority w:val="99"/>
    <w:unhideWhenUsed/>
    <w:rsid w:val="00AF3625"/>
    <w:pPr>
      <w:tabs>
        <w:tab w:val="center" w:pos="4680"/>
        <w:tab w:val="right" w:pos="9360"/>
      </w:tabs>
      <w:adjustRightInd w:val="0"/>
      <w:spacing w:after="0" w:line="240" w:lineRule="auto"/>
    </w:pPr>
    <w:rPr>
      <w:rFonts w:ascii="Lato" w:hAnsi="Lato" w:cs="Times New Roman (Body CS)"/>
      <w:sz w:val="20"/>
      <w:szCs w:val="20"/>
    </w:rPr>
  </w:style>
  <w:style w:type="character" w:customStyle="1" w:styleId="FooterChar">
    <w:name w:val="Footer Char"/>
    <w:basedOn w:val="DefaultParagraphFont"/>
    <w:link w:val="Footer"/>
    <w:uiPriority w:val="99"/>
    <w:rsid w:val="00AF3625"/>
    <w:rPr>
      <w:rFonts w:ascii="Lato" w:hAnsi="Lato" w:cs="Times New Roman (Body CS)"/>
      <w:sz w:val="20"/>
      <w:szCs w:val="20"/>
    </w:rPr>
  </w:style>
  <w:style w:type="paragraph" w:customStyle="1" w:styleId="FooterRed">
    <w:name w:val="Footer Red"/>
    <w:basedOn w:val="Normal"/>
    <w:qFormat/>
    <w:rsid w:val="00AF3625"/>
    <w:pPr>
      <w:autoSpaceDE w:val="0"/>
      <w:autoSpaceDN w:val="0"/>
      <w:adjustRightInd w:val="0"/>
      <w:spacing w:after="0" w:line="288" w:lineRule="auto"/>
      <w:textAlignment w:val="center"/>
    </w:pPr>
    <w:rPr>
      <w:rFonts w:ascii="Lato" w:hAnsi="Lato" w:cs="Lato"/>
      <w:caps/>
      <w:color w:val="E24E46"/>
      <w:spacing w:val="10"/>
      <w:sz w:val="14"/>
      <w:szCs w:val="14"/>
    </w:rPr>
  </w:style>
  <w:style w:type="paragraph" w:styleId="ListParagraph">
    <w:name w:val="List Paragraph"/>
    <w:basedOn w:val="Normal"/>
    <w:uiPriority w:val="34"/>
    <w:qFormat/>
    <w:rsid w:val="00AF3625"/>
    <w:pPr>
      <w:adjustRightInd w:val="0"/>
      <w:spacing w:after="0" w:line="340" w:lineRule="exact"/>
      <w:ind w:left="720"/>
      <w:contextualSpacing/>
    </w:pPr>
    <w:rPr>
      <w:rFonts w:ascii="Lato" w:hAnsi="Lato" w:cs="Times New Roman (Body CS)"/>
      <w:sz w:val="20"/>
      <w:szCs w:val="20"/>
    </w:rPr>
  </w:style>
  <w:style w:type="paragraph" w:customStyle="1" w:styleId="paragraph">
    <w:name w:val="paragraph"/>
    <w:basedOn w:val="Normal"/>
    <w:rsid w:val="006B77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B7707"/>
  </w:style>
  <w:style w:type="character" w:customStyle="1" w:styleId="eop">
    <w:name w:val="eop"/>
    <w:basedOn w:val="DefaultParagraphFont"/>
    <w:rsid w:val="006B7707"/>
  </w:style>
  <w:style w:type="character" w:customStyle="1" w:styleId="Heading1Char">
    <w:name w:val="Heading 1 Char"/>
    <w:basedOn w:val="DefaultParagraphFont"/>
    <w:link w:val="Heading1"/>
    <w:rsid w:val="00C5508A"/>
    <w:rPr>
      <w:rFonts w:ascii="Script MT Bold" w:eastAsia="Times New Roman" w:hAnsi="Script MT Bold" w:cs="Times New Roman"/>
      <w:sz w:val="36"/>
      <w:szCs w:val="20"/>
    </w:rPr>
  </w:style>
  <w:style w:type="character" w:customStyle="1" w:styleId="Heading2Char">
    <w:name w:val="Heading 2 Char"/>
    <w:basedOn w:val="DefaultParagraphFont"/>
    <w:link w:val="Heading2"/>
    <w:rsid w:val="00C5508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764C1B40AFCE4298D2D013906FCAD0" ma:contentTypeVersion="16" ma:contentTypeDescription="Create a new document." ma:contentTypeScope="" ma:versionID="b93c43cfdfb4a956b116333d4d76b66b">
  <xsd:schema xmlns:xsd="http://www.w3.org/2001/XMLSchema" xmlns:xs="http://www.w3.org/2001/XMLSchema" xmlns:p="http://schemas.microsoft.com/office/2006/metadata/properties" xmlns:ns2="50b5338a-4c58-467c-bd5d-d770c6903679" xmlns:ns3="bd35ec77-faa6-4776-9e12-a816cb598d88" targetNamespace="http://schemas.microsoft.com/office/2006/metadata/properties" ma:root="true" ma:fieldsID="25f59796499cd94b93b34ba2ba6b839f" ns2:_="" ns3:_="">
    <xsd:import namespace="50b5338a-4c58-467c-bd5d-d770c6903679"/>
    <xsd:import namespace="bd35ec77-faa6-4776-9e12-a816cb598d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5338a-4c58-467c-bd5d-d770c69036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7398e3e-4081-4c6a-ba68-99d46a1ebb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35ec77-faa6-4776-9e12-a816cb598d8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8cc9139-beed-4661-a51b-283249bd77f4}" ma:internalName="TaxCatchAll" ma:showField="CatchAllData" ma:web="bd35ec77-faa6-4776-9e12-a816cb598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35ec77-faa6-4776-9e12-a816cb598d88" xsi:nil="true"/>
    <lcf76f155ced4ddcb4097134ff3c332f xmlns="50b5338a-4c58-467c-bd5d-d770c69036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F624A-0397-4546-8D1F-9395D7F37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5338a-4c58-467c-bd5d-d770c6903679"/>
    <ds:schemaRef ds:uri="bd35ec77-faa6-4776-9e12-a816cb598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C007DD-C403-40B3-B9E3-6F3086021768}">
  <ds:schemaRefs>
    <ds:schemaRef ds:uri="http://schemas.microsoft.com/office/2006/metadata/properties"/>
    <ds:schemaRef ds:uri="http://schemas.microsoft.com/office/infopath/2007/PartnerControls"/>
    <ds:schemaRef ds:uri="bd35ec77-faa6-4776-9e12-a816cb598d88"/>
    <ds:schemaRef ds:uri="50b5338a-4c58-467c-bd5d-d770c6903679"/>
  </ds:schemaRefs>
</ds:datastoreItem>
</file>

<file path=customXml/itemProps3.xml><?xml version="1.0" encoding="utf-8"?>
<ds:datastoreItem xmlns:ds="http://schemas.openxmlformats.org/officeDocument/2006/customXml" ds:itemID="{C94D7772-D9D4-43CB-A5D4-58A5E31F4BEC}">
  <ds:schemaRefs>
    <ds:schemaRef ds:uri="http://schemas.microsoft.com/sharepoint/v3/contenttype/forms"/>
  </ds:schemaRefs>
</ds:datastoreItem>
</file>

<file path=customXml/itemProps4.xml><?xml version="1.0" encoding="utf-8"?>
<ds:datastoreItem xmlns:ds="http://schemas.openxmlformats.org/officeDocument/2006/customXml" ds:itemID="{61FEE934-6A90-49D0-ABAC-BF11144D8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Caity Heim</dc:creator>
  <cp:keywords/>
  <dc:description/>
  <cp:lastModifiedBy>Tresten Keys</cp:lastModifiedBy>
  <cp:revision>2</cp:revision>
  <dcterms:created xsi:type="dcterms:W3CDTF">2025-12-08T23:20:00Z</dcterms:created>
  <dcterms:modified xsi:type="dcterms:W3CDTF">2025-12-08T23:20:00Z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0x010100EB764C1B40AFCE4298D2D013906FCAD0</vt:lpwstr>
  </property>
  <property fmtid="{D5CDD505-2E9C-101B-9397-08002B2CF9AE}" pid="3" name="MediaServiceImageTags">
    <vt:lpwstr/>
  </property>
  <property fmtid="{D5CDD505-2E9C-101B-9397-08002B2CF9AE}" pid="4" name="docLang">
    <vt:lpwstr>en</vt:lpwstr>
  </property>
</Properties>
</file>