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8F4FDE" w14:textId="7E6209D1" w:rsidR="00E33BE4" w:rsidRPr="00454C81" w:rsidRDefault="006F189E">
      <w:pPr>
        <w:rPr>
          <w:rFonts w:ascii="Segoe UI" w:hAnsi="Segoe UI" w:cs="Segoe UI"/>
          <w:b/>
          <w:bCs/>
        </w:rPr>
      </w:pPr>
      <w:r w:rsidRPr="00454C81">
        <w:rPr>
          <w:rFonts w:ascii="Segoe UI" w:hAnsi="Segoe UI" w:cs="Segoe UI"/>
          <w:b/>
          <w:bCs/>
        </w:rPr>
        <w:t xml:space="preserve">WBLCA Reporting </w:t>
      </w:r>
      <w:r w:rsidR="00454C81">
        <w:rPr>
          <w:rFonts w:ascii="Segoe UI" w:hAnsi="Segoe UI" w:cs="Segoe UI"/>
          <w:b/>
          <w:bCs/>
        </w:rPr>
        <w:t>R</w:t>
      </w:r>
      <w:r w:rsidRPr="00454C81">
        <w:rPr>
          <w:rFonts w:ascii="Segoe UI" w:hAnsi="Segoe UI" w:cs="Segoe UI"/>
          <w:b/>
          <w:bCs/>
        </w:rPr>
        <w:t xml:space="preserve">emoved for </w:t>
      </w:r>
      <w:r w:rsidR="00454C81">
        <w:rPr>
          <w:rFonts w:ascii="Segoe UI" w:hAnsi="Segoe UI" w:cs="Segoe UI"/>
          <w:b/>
          <w:bCs/>
        </w:rPr>
        <w:t>R</w:t>
      </w:r>
      <w:r w:rsidRPr="00454C81">
        <w:rPr>
          <w:rFonts w:ascii="Segoe UI" w:hAnsi="Segoe UI" w:cs="Segoe UI"/>
          <w:b/>
          <w:bCs/>
        </w:rPr>
        <w:t xml:space="preserve">esidential </w:t>
      </w:r>
      <w:r w:rsidR="00454C81">
        <w:rPr>
          <w:rFonts w:ascii="Segoe UI" w:hAnsi="Segoe UI" w:cs="Segoe UI"/>
          <w:b/>
          <w:bCs/>
        </w:rPr>
        <w:t>P</w:t>
      </w:r>
      <w:r w:rsidRPr="00454C81">
        <w:rPr>
          <w:rFonts w:ascii="Segoe UI" w:hAnsi="Segoe UI" w:cs="Segoe UI"/>
          <w:b/>
          <w:bCs/>
        </w:rPr>
        <w:t>rojects</w:t>
      </w:r>
      <w:r w:rsidRPr="00454C81">
        <w:rPr>
          <w:rFonts w:ascii="Segoe UI" w:hAnsi="Segoe UI" w:cs="Segoe UI"/>
          <w:b/>
          <w:bCs/>
        </w:rPr>
        <w:t xml:space="preserve"> – Request for Reconsideration</w:t>
      </w:r>
    </w:p>
    <w:p w14:paraId="34A0F399" w14:textId="2D792BB1" w:rsidR="006F189E" w:rsidRDefault="006F189E">
      <w:pPr>
        <w:rPr>
          <w:rFonts w:ascii="Segoe UI" w:hAnsi="Segoe UI" w:cs="Segoe UI"/>
        </w:rPr>
      </w:pPr>
      <w:r>
        <w:rPr>
          <w:rFonts w:ascii="Segoe UI" w:hAnsi="Segoe UI" w:cs="Segoe UI"/>
        </w:rPr>
        <w:t>The October 30</w:t>
      </w:r>
      <w:r w:rsidRPr="006F189E">
        <w:rPr>
          <w:rFonts w:ascii="Segoe UI" w:hAnsi="Segoe UI" w:cs="Segoe UI"/>
          <w:vertAlign w:val="superscript"/>
        </w:rPr>
        <w:t>th</w:t>
      </w:r>
      <w:r>
        <w:rPr>
          <w:rFonts w:ascii="Segoe UI" w:hAnsi="Segoe UI" w:cs="Segoe UI"/>
        </w:rPr>
        <w:t xml:space="preserve">, </w:t>
      </w:r>
      <w:proofErr w:type="gramStart"/>
      <w:r>
        <w:rPr>
          <w:rFonts w:ascii="Segoe UI" w:hAnsi="Segoe UI" w:cs="Segoe UI"/>
        </w:rPr>
        <w:t>2025</w:t>
      </w:r>
      <w:proofErr w:type="gramEnd"/>
      <w:r>
        <w:rPr>
          <w:rFonts w:ascii="Segoe UI" w:hAnsi="Segoe UI" w:cs="Segoe UI"/>
        </w:rPr>
        <w:t xml:space="preserve"> Workshop removed proposed requirements for WBLCA reporting for residential projects of more than 30 units.  This removal directly contradicts </w:t>
      </w:r>
      <w:r w:rsidR="00454C81">
        <w:rPr>
          <w:rFonts w:ascii="Segoe UI" w:hAnsi="Segoe UI" w:cs="Segoe UI"/>
        </w:rPr>
        <w:t>AB 2446</w:t>
      </w:r>
      <w:r>
        <w:rPr>
          <w:rFonts w:ascii="Segoe UI" w:hAnsi="Segoe UI" w:cs="Segoe UI"/>
        </w:rPr>
        <w:t xml:space="preserve">.  The statute states: </w:t>
      </w:r>
    </w:p>
    <w:p w14:paraId="0DBC59DE" w14:textId="55F2986E" w:rsidR="006F189E" w:rsidRDefault="006F189E" w:rsidP="006F189E">
      <w:pPr>
        <w:ind w:left="720"/>
        <w:rPr>
          <w:rFonts w:ascii="Segoe UI" w:hAnsi="Segoe UI" w:cs="Segoe UI"/>
        </w:rPr>
      </w:pPr>
      <w:r>
        <w:rPr>
          <w:rFonts w:ascii="Segoe UI" w:hAnsi="Segoe UI" w:cs="Segoe UI"/>
        </w:rPr>
        <w:t>“</w:t>
      </w:r>
      <w:r w:rsidRPr="006F189E">
        <w:rPr>
          <w:rFonts w:ascii="Segoe UI" w:hAnsi="Segoe UI" w:cs="Segoe UI"/>
        </w:rPr>
        <w:t xml:space="preserve">A requirement for the submission by an entity undertaking the construction of a project with a </w:t>
      </w:r>
      <w:r w:rsidRPr="00454C81">
        <w:rPr>
          <w:rFonts w:ascii="Segoe UI" w:hAnsi="Segoe UI" w:cs="Segoe UI"/>
          <w:b/>
          <w:bCs/>
        </w:rPr>
        <w:t>minimum size of five new residential units</w:t>
      </w:r>
      <w:r w:rsidRPr="00454C81">
        <w:rPr>
          <w:rFonts w:ascii="Segoe UI" w:hAnsi="Segoe UI" w:cs="Segoe UI"/>
        </w:rPr>
        <w:t xml:space="preserve"> or 10,000 square feet of nonresidential building space of a </w:t>
      </w:r>
      <w:r w:rsidRPr="00454C81">
        <w:rPr>
          <w:rFonts w:ascii="Segoe UI" w:hAnsi="Segoe UI" w:cs="Segoe UI"/>
          <w:b/>
          <w:bCs/>
        </w:rPr>
        <w:t>life-cycle assessment</w:t>
      </w:r>
      <w:r w:rsidRPr="00454C81">
        <w:rPr>
          <w:rFonts w:ascii="Segoe UI" w:hAnsi="Segoe UI" w:cs="Segoe UI"/>
        </w:rPr>
        <w:t>,</w:t>
      </w:r>
      <w:r w:rsidRPr="006F189E">
        <w:rPr>
          <w:rFonts w:ascii="Segoe UI" w:hAnsi="Segoe UI" w:cs="Segoe UI"/>
        </w:rPr>
        <w:t xml:space="preserve"> as defined in the International Organization for Standardization (ISO) 14040 series of standards</w:t>
      </w:r>
      <w:r>
        <w:rPr>
          <w:rFonts w:ascii="Segoe UI" w:hAnsi="Segoe UI" w:cs="Segoe UI"/>
        </w:rPr>
        <w:t>…”</w:t>
      </w:r>
    </w:p>
    <w:p w14:paraId="5F3F567D" w14:textId="22659E34" w:rsidR="006F189E" w:rsidRDefault="006F189E" w:rsidP="006F189E">
      <w:pPr>
        <w:rPr>
          <w:rFonts w:ascii="Segoe UI" w:hAnsi="Segoe UI" w:cs="Segoe UI"/>
        </w:rPr>
      </w:pPr>
      <w:r>
        <w:rPr>
          <w:rFonts w:ascii="Segoe UI" w:hAnsi="Segoe UI" w:cs="Segoe UI"/>
        </w:rPr>
        <w:t xml:space="preserve">The statute clearly states that submission of an LCA is required for residential projects, so why has CARB proposed removing this requirement?  We recommend requiring WBLCA reporting for all residential projects that are five units or more as directed by the statute.  Alternatively, CARB may consider reverting to proposed requirements introduced in March (WBLCA </w:t>
      </w:r>
      <w:r>
        <w:rPr>
          <w:rFonts w:ascii="Segoe UI" w:hAnsi="Segoe UI" w:cs="Segoe UI"/>
        </w:rPr>
        <w:t>for residential projects of more than 30 units</w:t>
      </w:r>
      <w:r>
        <w:rPr>
          <w:rFonts w:ascii="Segoe UI" w:hAnsi="Segoe UI" w:cs="Segoe UI"/>
        </w:rPr>
        <w:t>) a “phase-in” before requiring WBLCA reporting for all covered projects in 2030.</w:t>
      </w:r>
    </w:p>
    <w:p w14:paraId="3F40D966" w14:textId="73C893AA" w:rsidR="006F189E" w:rsidRDefault="006F189E" w:rsidP="006F189E">
      <w:pPr>
        <w:rPr>
          <w:rFonts w:ascii="Segoe UI" w:hAnsi="Segoe UI" w:cs="Segoe UI"/>
        </w:rPr>
      </w:pPr>
      <w:r>
        <w:rPr>
          <w:rFonts w:ascii="Segoe UI" w:hAnsi="Segoe UI" w:cs="Segoe UI"/>
        </w:rPr>
        <w:t>The removal of WBLCA requirements for residential projects also undermines AB 2446.</w:t>
      </w:r>
      <w:r w:rsidRPr="006F189E">
        <w:rPr>
          <w:rFonts w:ascii="Segoe UI" w:hAnsi="Segoe UI" w:cs="Segoe UI"/>
        </w:rPr>
        <w:t xml:space="preserve"> </w:t>
      </w:r>
      <w:r>
        <w:rPr>
          <w:rFonts w:ascii="Segoe UI" w:hAnsi="Segoe UI" w:cs="Segoe UI"/>
        </w:rPr>
        <w:t xml:space="preserve"> </w:t>
      </w:r>
      <w:r>
        <w:rPr>
          <w:rFonts w:ascii="Segoe UI" w:hAnsi="Segoe UI" w:cs="Segoe UI"/>
        </w:rPr>
        <w:t xml:space="preserve">The statute states: </w:t>
      </w:r>
    </w:p>
    <w:p w14:paraId="095567CD" w14:textId="1F0779E9" w:rsidR="006F189E" w:rsidRDefault="006F189E" w:rsidP="006F189E">
      <w:pPr>
        <w:ind w:left="720"/>
        <w:rPr>
          <w:rFonts w:ascii="Segoe UI" w:hAnsi="Segoe UI" w:cs="Segoe UI"/>
        </w:rPr>
      </w:pPr>
      <w:r>
        <w:rPr>
          <w:rFonts w:ascii="Segoe UI" w:hAnsi="Segoe UI" w:cs="Segoe UI"/>
        </w:rPr>
        <w:t>“</w:t>
      </w:r>
      <w:r w:rsidRPr="006F189E">
        <w:rPr>
          <w:rFonts w:ascii="Segoe UI" w:hAnsi="Segoe UI" w:cs="Segoe UI"/>
        </w:rPr>
        <w:t>Under the updated Regional Housing Needs Assessment (RHNA), cities will face</w:t>
      </w:r>
      <w:r>
        <w:rPr>
          <w:rFonts w:ascii="Segoe UI" w:hAnsi="Segoe UI" w:cs="Segoe UI"/>
        </w:rPr>
        <w:t xml:space="preserve"> </w:t>
      </w:r>
      <w:r w:rsidRPr="00454C81">
        <w:rPr>
          <w:rFonts w:ascii="Segoe UI" w:hAnsi="Segoe UI" w:cs="Segoe UI"/>
          <w:b/>
          <w:bCs/>
        </w:rPr>
        <w:t>significant increases in housing production goals over the next 10 years</w:t>
      </w:r>
      <w:r w:rsidRPr="006F189E">
        <w:rPr>
          <w:rFonts w:ascii="Segoe UI" w:hAnsi="Segoe UI" w:cs="Segoe UI"/>
        </w:rPr>
        <w:t>.</w:t>
      </w:r>
      <w:r>
        <w:rPr>
          <w:rFonts w:ascii="Segoe UI" w:hAnsi="Segoe UI" w:cs="Segoe UI"/>
        </w:rPr>
        <w:t xml:space="preserve">  </w:t>
      </w:r>
      <w:r w:rsidRPr="006F189E">
        <w:rPr>
          <w:rFonts w:ascii="Segoe UI" w:hAnsi="Segoe UI" w:cs="Segoe UI"/>
        </w:rPr>
        <w:t>To meet these increased goals from the RHNA, a considerable expansion of construction will have to occur statewide.</w:t>
      </w:r>
      <w:r>
        <w:rPr>
          <w:rFonts w:ascii="Segoe UI" w:hAnsi="Segoe UI" w:cs="Segoe UI"/>
        </w:rPr>
        <w:t>”</w:t>
      </w:r>
    </w:p>
    <w:p w14:paraId="5EE2E2F2" w14:textId="42EB3F16" w:rsidR="006F189E" w:rsidRDefault="006F189E" w:rsidP="006F189E">
      <w:pPr>
        <w:rPr>
          <w:rFonts w:ascii="Segoe UI" w:hAnsi="Segoe UI" w:cs="Segoe UI"/>
        </w:rPr>
      </w:pPr>
      <w:r>
        <w:rPr>
          <w:rFonts w:ascii="Segoe UI" w:hAnsi="Segoe UI" w:cs="Segoe UI"/>
        </w:rPr>
        <w:t xml:space="preserve">These statements in the statute clearly indicate that residential construction is a focal point of AB </w:t>
      </w:r>
      <w:proofErr w:type="gramStart"/>
      <w:r>
        <w:rPr>
          <w:rFonts w:ascii="Segoe UI" w:hAnsi="Segoe UI" w:cs="Segoe UI"/>
        </w:rPr>
        <w:t>2446</w:t>
      </w:r>
      <w:proofErr w:type="gramEnd"/>
      <w:r>
        <w:rPr>
          <w:rFonts w:ascii="Segoe UI" w:hAnsi="Segoe UI" w:cs="Segoe UI"/>
        </w:rPr>
        <w:t xml:space="preserve"> and that significant residential construction will occur in California over the time period covered by the law.  </w:t>
      </w:r>
      <w:r w:rsidRPr="007D20AA">
        <w:rPr>
          <w:rFonts w:ascii="Segoe UI" w:hAnsi="Segoe UI" w:cs="Segoe UI"/>
          <w:b/>
          <w:bCs/>
        </w:rPr>
        <w:t xml:space="preserve">If the purpose of AB 2446 is to require “a comprehensive </w:t>
      </w:r>
      <w:r w:rsidRPr="007D20AA">
        <w:rPr>
          <w:rFonts w:ascii="Segoe UI" w:hAnsi="Segoe UI" w:cs="Segoe UI"/>
          <w:b/>
          <w:bCs/>
        </w:rPr>
        <w:t>strategy for the state’s building sector to achieve a 40% net reduction in greenhouse gas emissions of building materials</w:t>
      </w:r>
      <w:r w:rsidRPr="007D20AA">
        <w:rPr>
          <w:rFonts w:ascii="Segoe UI" w:hAnsi="Segoe UI" w:cs="Segoe UI"/>
          <w:b/>
          <w:bCs/>
        </w:rPr>
        <w:t xml:space="preserve">,” how can CARB expect to satisfy that condition while excluding a significant portion of the new construction in the state from the </w:t>
      </w:r>
      <w:r w:rsidR="00454C81" w:rsidRPr="007D20AA">
        <w:rPr>
          <w:rFonts w:ascii="Segoe UI" w:hAnsi="Segoe UI" w:cs="Segoe UI"/>
          <w:b/>
          <w:bCs/>
        </w:rPr>
        <w:t>“</w:t>
      </w:r>
      <w:r w:rsidRPr="007D20AA">
        <w:rPr>
          <w:rFonts w:ascii="Segoe UI" w:hAnsi="Segoe UI" w:cs="Segoe UI"/>
          <w:b/>
          <w:bCs/>
        </w:rPr>
        <w:t>comprehensive strategy</w:t>
      </w:r>
      <w:r w:rsidR="00454C81" w:rsidRPr="007D20AA">
        <w:rPr>
          <w:rFonts w:ascii="Segoe UI" w:hAnsi="Segoe UI" w:cs="Segoe UI"/>
          <w:b/>
          <w:bCs/>
        </w:rPr>
        <w:t>”</w:t>
      </w:r>
      <w:r w:rsidRPr="007D20AA">
        <w:rPr>
          <w:rFonts w:ascii="Segoe UI" w:hAnsi="Segoe UI" w:cs="Segoe UI"/>
          <w:b/>
          <w:bCs/>
        </w:rPr>
        <w:t>?</w:t>
      </w:r>
      <w:r>
        <w:rPr>
          <w:rFonts w:ascii="Segoe UI" w:hAnsi="Segoe UI" w:cs="Segoe UI"/>
        </w:rPr>
        <w:t xml:space="preserve">  The statute goes on to state:</w:t>
      </w:r>
    </w:p>
    <w:p w14:paraId="200995AB" w14:textId="410E372F" w:rsidR="006F189E" w:rsidRDefault="006F189E" w:rsidP="006F189E">
      <w:pPr>
        <w:ind w:left="720"/>
        <w:rPr>
          <w:rFonts w:ascii="Segoe UI" w:hAnsi="Segoe UI" w:cs="Segoe UI"/>
        </w:rPr>
      </w:pPr>
      <w:r>
        <w:rPr>
          <w:rFonts w:ascii="Segoe UI" w:hAnsi="Segoe UI" w:cs="Segoe UI"/>
        </w:rPr>
        <w:t>“</w:t>
      </w:r>
      <w:r w:rsidRPr="006F189E">
        <w:rPr>
          <w:rFonts w:ascii="Segoe UI" w:hAnsi="Segoe UI" w:cs="Segoe UI"/>
        </w:rPr>
        <w:t>California is currently facing a housing shortage, and it is imperative that the state meet its housing goals. However, meeting those goals should not come at the expense of California’s climate goals.</w:t>
      </w:r>
      <w:r>
        <w:rPr>
          <w:rFonts w:ascii="Segoe UI" w:hAnsi="Segoe UI" w:cs="Segoe UI"/>
        </w:rPr>
        <w:t>”</w:t>
      </w:r>
    </w:p>
    <w:p w14:paraId="55312FF4" w14:textId="675D408E" w:rsidR="006F189E" w:rsidRDefault="006F189E" w:rsidP="006F189E">
      <w:pPr>
        <w:rPr>
          <w:rFonts w:ascii="Segoe UI" w:hAnsi="Segoe UI" w:cs="Segoe UI"/>
        </w:rPr>
      </w:pPr>
      <w:r>
        <w:rPr>
          <w:rFonts w:ascii="Segoe UI" w:hAnsi="Segoe UI" w:cs="Segoe UI"/>
        </w:rPr>
        <w:lastRenderedPageBreak/>
        <w:t>Therefore, the removal of residential covered projects from WBLCA clearly undermines the intention, goals, and purpose of the statute.  Again, w</w:t>
      </w:r>
      <w:r>
        <w:rPr>
          <w:rFonts w:ascii="Segoe UI" w:hAnsi="Segoe UI" w:cs="Segoe UI"/>
        </w:rPr>
        <w:t xml:space="preserve">e </w:t>
      </w:r>
      <w:r>
        <w:rPr>
          <w:rFonts w:ascii="Segoe UI" w:hAnsi="Segoe UI" w:cs="Segoe UI"/>
        </w:rPr>
        <w:t xml:space="preserve">continue to </w:t>
      </w:r>
      <w:r>
        <w:rPr>
          <w:rFonts w:ascii="Segoe UI" w:hAnsi="Segoe UI" w:cs="Segoe UI"/>
        </w:rPr>
        <w:t>recommend requiring WBLCA reporting for all residential projects that are five units or more as</w:t>
      </w:r>
      <w:r w:rsidR="00454C81">
        <w:rPr>
          <w:rFonts w:ascii="Segoe UI" w:hAnsi="Segoe UI" w:cs="Segoe UI"/>
        </w:rPr>
        <w:t xml:space="preserve"> </w:t>
      </w:r>
      <w:r>
        <w:rPr>
          <w:rFonts w:ascii="Segoe UI" w:hAnsi="Segoe UI" w:cs="Segoe UI"/>
        </w:rPr>
        <w:t>directed by the statute.  Alternatively, CARB may consider reverting to proposed requirements introduced in March (WBLCA for residential projects of more than 30 units) a “phase-in” before requiring WBLCA reporting for all covered projects in 2030</w:t>
      </w:r>
      <w:r>
        <w:rPr>
          <w:rFonts w:ascii="Segoe UI" w:hAnsi="Segoe UI" w:cs="Segoe UI"/>
        </w:rPr>
        <w:t>.</w:t>
      </w:r>
    </w:p>
    <w:p w14:paraId="16508729" w14:textId="7D67B10E" w:rsidR="006F189E" w:rsidRPr="00454C81" w:rsidRDefault="006F189E" w:rsidP="006F189E">
      <w:pPr>
        <w:rPr>
          <w:rFonts w:ascii="Segoe UI" w:hAnsi="Segoe UI" w:cs="Segoe UI"/>
          <w:b/>
          <w:bCs/>
        </w:rPr>
      </w:pPr>
      <w:r w:rsidRPr="00454C81">
        <w:rPr>
          <w:rFonts w:ascii="Segoe UI" w:hAnsi="Segoe UI" w:cs="Segoe UI"/>
          <w:b/>
          <w:bCs/>
        </w:rPr>
        <w:t>Residential Covered Project Reporting – Proposed Approach</w:t>
      </w:r>
    </w:p>
    <w:p w14:paraId="5F8B6F07" w14:textId="3C2A7BEB" w:rsidR="00454C81" w:rsidRDefault="006F189E" w:rsidP="006F189E">
      <w:pPr>
        <w:rPr>
          <w:rFonts w:ascii="Segoe UI" w:hAnsi="Segoe UI" w:cs="Segoe UI"/>
        </w:rPr>
      </w:pPr>
      <w:r>
        <w:rPr>
          <w:rFonts w:ascii="Segoe UI" w:hAnsi="Segoe UI" w:cs="Segoe UI"/>
        </w:rPr>
        <w:t xml:space="preserve">Consistent with the above recommendation to require ISO 14040 </w:t>
      </w:r>
      <w:r>
        <w:rPr>
          <w:rFonts w:ascii="Segoe UI" w:hAnsi="Segoe UI" w:cs="Segoe UI"/>
        </w:rPr>
        <w:t>WBLCA reporting for all residential projects that are five units or mor</w:t>
      </w:r>
      <w:r>
        <w:rPr>
          <w:rFonts w:ascii="Segoe UI" w:hAnsi="Segoe UI" w:cs="Segoe UI"/>
        </w:rPr>
        <w:t xml:space="preserve">e – </w:t>
      </w:r>
      <w:r>
        <w:rPr>
          <w:rFonts w:ascii="Segoe UI" w:hAnsi="Segoe UI" w:cs="Segoe UI"/>
        </w:rPr>
        <w:t>as is directed by the statute</w:t>
      </w:r>
      <w:r>
        <w:rPr>
          <w:rFonts w:ascii="Segoe UI" w:hAnsi="Segoe UI" w:cs="Segoe UI"/>
        </w:rPr>
        <w:t xml:space="preserve"> – we view this approach</w:t>
      </w:r>
      <w:r w:rsidR="00454C81">
        <w:rPr>
          <w:rFonts w:ascii="Segoe UI" w:hAnsi="Segoe UI" w:cs="Segoe UI"/>
        </w:rPr>
        <w:t xml:space="preserve">, rather than the proposed “Basic Reporting” requirements, </w:t>
      </w:r>
      <w:r>
        <w:rPr>
          <w:rFonts w:ascii="Segoe UI" w:hAnsi="Segoe UI" w:cs="Segoe UI"/>
        </w:rPr>
        <w:t>as more impactful toward achieving the goals of the statute and more feasible for residential project developers</w:t>
      </w:r>
      <w:r>
        <w:rPr>
          <w:rFonts w:ascii="Segoe UI" w:hAnsi="Segoe UI" w:cs="Segoe UI"/>
        </w:rPr>
        <w:t>.</w:t>
      </w:r>
      <w:r>
        <w:rPr>
          <w:rFonts w:ascii="Segoe UI" w:hAnsi="Segoe UI" w:cs="Segoe UI"/>
        </w:rPr>
        <w:t xml:space="preserve">  </w:t>
      </w:r>
    </w:p>
    <w:p w14:paraId="5EB5234C" w14:textId="121F8DB1" w:rsidR="006F189E" w:rsidRDefault="006F189E" w:rsidP="006F189E">
      <w:pPr>
        <w:rPr>
          <w:rFonts w:ascii="Segoe UI" w:hAnsi="Segoe UI" w:cs="Segoe UI"/>
        </w:rPr>
      </w:pPr>
      <w:r>
        <w:rPr>
          <w:rFonts w:ascii="Segoe UI" w:hAnsi="Segoe UI" w:cs="Segoe UI"/>
        </w:rPr>
        <w:t>Residential project developers are typically able to estimate the quantities of building products utilized in their developments.  These building product quantities can be used to perform unit-based, product-specific ISO 14040 life cycle assessments – i.e., WBLCA Reporting.</w:t>
      </w:r>
    </w:p>
    <w:p w14:paraId="3F6B72FF" w14:textId="554ADCA0" w:rsidR="006F189E" w:rsidRDefault="006F189E" w:rsidP="006F189E">
      <w:pPr>
        <w:rPr>
          <w:rFonts w:ascii="Segoe UI" w:hAnsi="Segoe UI" w:cs="Segoe UI"/>
        </w:rPr>
      </w:pPr>
      <w:r>
        <w:rPr>
          <w:rFonts w:ascii="Segoe UI" w:hAnsi="Segoe UI" w:cs="Segoe UI"/>
        </w:rPr>
        <w:t xml:space="preserve">Material cost data, however, </w:t>
      </w:r>
      <w:r w:rsidR="00454C81">
        <w:rPr>
          <w:rFonts w:ascii="Segoe UI" w:hAnsi="Segoe UI" w:cs="Segoe UI"/>
        </w:rPr>
        <w:t xml:space="preserve">which is </w:t>
      </w:r>
      <w:r>
        <w:rPr>
          <w:rFonts w:ascii="Segoe UI" w:hAnsi="Segoe UI" w:cs="Segoe UI"/>
        </w:rPr>
        <w:t xml:space="preserve">currently proposed under “Basic Reporting” as the </w:t>
      </w:r>
      <w:r w:rsidR="00454C81">
        <w:rPr>
          <w:rFonts w:ascii="Segoe UI" w:hAnsi="Segoe UI" w:cs="Segoe UI"/>
        </w:rPr>
        <w:t xml:space="preserve">data source </w:t>
      </w:r>
      <w:r>
        <w:rPr>
          <w:rFonts w:ascii="Segoe UI" w:hAnsi="Segoe UI" w:cs="Segoe UI"/>
        </w:rPr>
        <w:t xml:space="preserve">by which an EEIO-based calculation approach is dependent, is often contractually unavailable due to “turnkey” subcontractor pricing.  </w:t>
      </w:r>
      <w:r w:rsidRPr="00454C81">
        <w:rPr>
          <w:rFonts w:ascii="Segoe UI" w:hAnsi="Segoe UI" w:cs="Segoe UI"/>
          <w:b/>
          <w:bCs/>
        </w:rPr>
        <w:t xml:space="preserve">Therefore, not only is using material cost data through a </w:t>
      </w:r>
      <w:r w:rsidRPr="00454C81">
        <w:rPr>
          <w:rFonts w:ascii="Segoe UI" w:hAnsi="Segoe UI" w:cs="Segoe UI"/>
          <w:b/>
          <w:bCs/>
        </w:rPr>
        <w:t>“Basic Reporting”</w:t>
      </w:r>
      <w:r w:rsidRPr="00454C81">
        <w:rPr>
          <w:rFonts w:ascii="Segoe UI" w:hAnsi="Segoe UI" w:cs="Segoe UI"/>
          <w:b/>
          <w:bCs/>
        </w:rPr>
        <w:t xml:space="preserve"> approach a lower quality approach</w:t>
      </w:r>
      <w:r w:rsidRPr="00454C81">
        <w:rPr>
          <w:rStyle w:val="FootnoteReference"/>
          <w:rFonts w:ascii="Segoe UI" w:hAnsi="Segoe UI" w:cs="Segoe UI"/>
          <w:b/>
          <w:bCs/>
        </w:rPr>
        <w:footnoteReference w:id="1"/>
      </w:r>
      <w:r w:rsidRPr="00454C81">
        <w:rPr>
          <w:rFonts w:ascii="Segoe UI" w:hAnsi="Segoe UI" w:cs="Segoe UI"/>
          <w:b/>
          <w:bCs/>
        </w:rPr>
        <w:t xml:space="preserve"> due to its reliance on spend-based, EEIO calculations, </w:t>
      </w:r>
      <w:r w:rsidR="007D20AA">
        <w:rPr>
          <w:rFonts w:ascii="Segoe UI" w:hAnsi="Segoe UI" w:cs="Segoe UI"/>
          <w:b/>
          <w:bCs/>
        </w:rPr>
        <w:t>using material cost data</w:t>
      </w:r>
      <w:r w:rsidRPr="00454C81">
        <w:rPr>
          <w:rFonts w:ascii="Segoe UI" w:hAnsi="Segoe UI" w:cs="Segoe UI"/>
          <w:b/>
          <w:bCs/>
        </w:rPr>
        <w:t xml:space="preserve"> is </w:t>
      </w:r>
      <w:r w:rsidR="00454C81" w:rsidRPr="00454C81">
        <w:rPr>
          <w:rFonts w:ascii="Segoe UI" w:hAnsi="Segoe UI" w:cs="Segoe UI"/>
          <w:b/>
          <w:bCs/>
        </w:rPr>
        <w:t>also less feasible.</w:t>
      </w:r>
    </w:p>
    <w:p w14:paraId="115AD76E" w14:textId="5A5F49DE" w:rsidR="00454C81" w:rsidRDefault="00454C81" w:rsidP="006F189E">
      <w:pPr>
        <w:rPr>
          <w:rFonts w:ascii="Segoe UI" w:hAnsi="Segoe UI" w:cs="Segoe UI"/>
        </w:rPr>
      </w:pPr>
      <w:r>
        <w:rPr>
          <w:rFonts w:ascii="Segoe UI" w:hAnsi="Segoe UI" w:cs="Segoe UI"/>
        </w:rPr>
        <w:t xml:space="preserve">Additionally, requiring WBLCA reporting </w:t>
      </w:r>
      <w:r w:rsidR="007D20AA">
        <w:rPr>
          <w:rFonts w:ascii="Segoe UI" w:hAnsi="Segoe UI" w:cs="Segoe UI"/>
        </w:rPr>
        <w:t xml:space="preserve">– as proposed – </w:t>
      </w:r>
      <w:r>
        <w:rPr>
          <w:rFonts w:ascii="Segoe UI" w:hAnsi="Segoe UI" w:cs="Segoe UI"/>
        </w:rPr>
        <w:t xml:space="preserve">will guide residential project developers into </w:t>
      </w:r>
      <w:r>
        <w:rPr>
          <w:rFonts w:ascii="Segoe UI" w:hAnsi="Segoe UI" w:cs="Segoe UI"/>
        </w:rPr>
        <w:t>unit-based, product-specific</w:t>
      </w:r>
      <w:r>
        <w:rPr>
          <w:rFonts w:ascii="Segoe UI" w:hAnsi="Segoe UI" w:cs="Segoe UI"/>
        </w:rPr>
        <w:t xml:space="preserve"> calculations that leverage EPDs produced by building product manufacturers from the Covered Building Material Reporting.  </w:t>
      </w:r>
      <w:r w:rsidRPr="00454C81">
        <w:rPr>
          <w:rFonts w:ascii="Segoe UI" w:hAnsi="Segoe UI" w:cs="Segoe UI"/>
          <w:b/>
          <w:bCs/>
        </w:rPr>
        <w:t xml:space="preserve">This approach thereby synergizes the two reporting components AB 2446, as intended, rather than a spend-based/EEIO approach, which does not allow residential project developers to leverage the </w:t>
      </w:r>
      <w:r w:rsidRPr="00454C81">
        <w:rPr>
          <w:rFonts w:ascii="Segoe UI" w:hAnsi="Segoe UI" w:cs="Segoe UI"/>
          <w:b/>
          <w:bCs/>
        </w:rPr>
        <w:t>Covered Building Material Reporting</w:t>
      </w:r>
      <w:r w:rsidRPr="00454C81">
        <w:rPr>
          <w:rFonts w:ascii="Segoe UI" w:hAnsi="Segoe UI" w:cs="Segoe UI"/>
          <w:b/>
          <w:bCs/>
        </w:rPr>
        <w:t>.</w:t>
      </w:r>
    </w:p>
    <w:p w14:paraId="6EB7C8CC" w14:textId="77777777" w:rsidR="00454C81" w:rsidRDefault="00454C81" w:rsidP="006F189E">
      <w:pPr>
        <w:rPr>
          <w:rFonts w:ascii="Segoe UI" w:hAnsi="Segoe UI" w:cs="Segoe UI"/>
        </w:rPr>
      </w:pPr>
      <w:r>
        <w:rPr>
          <w:rFonts w:ascii="Segoe UI" w:hAnsi="Segoe UI" w:cs="Segoe UI"/>
        </w:rPr>
        <w:t xml:space="preserve">Furthermore, the WBLCA approach with </w:t>
      </w:r>
      <w:r>
        <w:rPr>
          <w:rFonts w:ascii="Segoe UI" w:hAnsi="Segoe UI" w:cs="Segoe UI"/>
        </w:rPr>
        <w:t>unit-based, product-specific calculations</w:t>
      </w:r>
      <w:r>
        <w:rPr>
          <w:rFonts w:ascii="Segoe UI" w:hAnsi="Segoe UI" w:cs="Segoe UI"/>
        </w:rPr>
        <w:t xml:space="preserve"> allows residential developers to begin evaluating the carbon intensity of different building </w:t>
      </w:r>
      <w:r>
        <w:rPr>
          <w:rFonts w:ascii="Segoe UI" w:hAnsi="Segoe UI" w:cs="Segoe UI"/>
        </w:rPr>
        <w:lastRenderedPageBreak/>
        <w:t xml:space="preserve">products from different manufacturers, explore lower carbon options, and understand the levers available to achieve the required reductions of 20 percent and 40 percent under AB 2446.  </w:t>
      </w:r>
      <w:r w:rsidRPr="00454C81">
        <w:rPr>
          <w:rFonts w:ascii="Segoe UI" w:hAnsi="Segoe UI" w:cs="Segoe UI"/>
          <w:b/>
          <w:bCs/>
        </w:rPr>
        <w:t>As a result, this approach incentivizes the production of lower carbon building products and helps achieve the goals of the statute.</w:t>
      </w:r>
      <w:r>
        <w:rPr>
          <w:rFonts w:ascii="Segoe UI" w:hAnsi="Segoe UI" w:cs="Segoe UI"/>
        </w:rPr>
        <w:t xml:space="preserve">  </w:t>
      </w:r>
    </w:p>
    <w:p w14:paraId="70CAF568" w14:textId="140EC996" w:rsidR="00454C81" w:rsidRPr="00454C81" w:rsidRDefault="00454C81" w:rsidP="006F189E">
      <w:pPr>
        <w:rPr>
          <w:rFonts w:ascii="Segoe UI" w:hAnsi="Segoe UI" w:cs="Segoe UI"/>
          <w:b/>
          <w:bCs/>
        </w:rPr>
      </w:pPr>
      <w:r>
        <w:rPr>
          <w:rFonts w:ascii="Segoe UI" w:hAnsi="Segoe UI" w:cs="Segoe UI"/>
        </w:rPr>
        <w:t xml:space="preserve">Alternatively, under the proposed “Basic Reporting” approach, residential project developers will </w:t>
      </w:r>
      <w:r w:rsidR="007D20AA">
        <w:rPr>
          <w:rFonts w:ascii="Segoe UI" w:hAnsi="Segoe UI" w:cs="Segoe UI"/>
        </w:rPr>
        <w:t>simply</w:t>
      </w:r>
      <w:r>
        <w:rPr>
          <w:rFonts w:ascii="Segoe UI" w:hAnsi="Segoe UI" w:cs="Segoe UI"/>
        </w:rPr>
        <w:t xml:space="preserve"> report spend data every year and “accept” a generic EEIO value without understanding the operational changes available to </w:t>
      </w:r>
      <w:r w:rsidRPr="00454C81">
        <w:rPr>
          <w:rFonts w:ascii="Segoe UI" w:hAnsi="Segoe UI" w:cs="Segoe UI"/>
          <w:i/>
          <w:iCs/>
        </w:rPr>
        <w:t>manage</w:t>
      </w:r>
      <w:r>
        <w:rPr>
          <w:rFonts w:ascii="Segoe UI" w:hAnsi="Segoe UI" w:cs="Segoe UI"/>
          <w:i/>
          <w:iCs/>
        </w:rPr>
        <w:t xml:space="preserve"> </w:t>
      </w:r>
      <w:r>
        <w:rPr>
          <w:rFonts w:ascii="Segoe UI" w:hAnsi="Segoe UI" w:cs="Segoe UI"/>
        </w:rPr>
        <w:t>toward emissions reduction.  Then, 2030 will arrive</w:t>
      </w:r>
      <w:r w:rsidR="007D20AA">
        <w:rPr>
          <w:rFonts w:ascii="Segoe UI" w:hAnsi="Segoe UI" w:cs="Segoe UI"/>
        </w:rPr>
        <w:t>,</w:t>
      </w:r>
      <w:r>
        <w:rPr>
          <w:rFonts w:ascii="Segoe UI" w:hAnsi="Segoe UI" w:cs="Segoe UI"/>
        </w:rPr>
        <w:t xml:space="preserve"> and they will be required to reduce without being guided down a path to do so.  </w:t>
      </w:r>
      <w:r w:rsidRPr="00454C81">
        <w:rPr>
          <w:rFonts w:ascii="Segoe UI" w:hAnsi="Segoe UI" w:cs="Segoe UI"/>
          <w:b/>
          <w:bCs/>
        </w:rPr>
        <w:t xml:space="preserve">Even more concerning, is changing in methodology from a spend-, EEIO-based calculation under “Basic Reporting” to a WBLCA approach </w:t>
      </w:r>
      <w:r>
        <w:rPr>
          <w:rFonts w:ascii="Segoe UI" w:hAnsi="Segoe UI" w:cs="Segoe UI"/>
          <w:b/>
          <w:bCs/>
        </w:rPr>
        <w:t xml:space="preserve">in 2030 </w:t>
      </w:r>
      <w:r w:rsidRPr="00454C81">
        <w:rPr>
          <w:rFonts w:ascii="Segoe UI" w:hAnsi="Segoe UI" w:cs="Segoe UI"/>
          <w:b/>
          <w:bCs/>
        </w:rPr>
        <w:t xml:space="preserve">using data from the </w:t>
      </w:r>
      <w:r w:rsidRPr="00454C81">
        <w:rPr>
          <w:rFonts w:ascii="Segoe UI" w:hAnsi="Segoe UI" w:cs="Segoe UI"/>
          <w:b/>
          <w:bCs/>
        </w:rPr>
        <w:t>Covered Building Material Reporting</w:t>
      </w:r>
      <w:r w:rsidRPr="00454C81">
        <w:rPr>
          <w:rFonts w:ascii="Segoe UI" w:hAnsi="Segoe UI" w:cs="Segoe UI"/>
          <w:b/>
          <w:bCs/>
        </w:rPr>
        <w:t xml:space="preserve"> represents such a massive shift in approach, that </w:t>
      </w:r>
      <w:r>
        <w:rPr>
          <w:rFonts w:ascii="Segoe UI" w:hAnsi="Segoe UI" w:cs="Segoe UI"/>
          <w:b/>
          <w:bCs/>
        </w:rPr>
        <w:t>any demonstrated “</w:t>
      </w:r>
      <w:r w:rsidRPr="00454C81">
        <w:rPr>
          <w:rFonts w:ascii="Segoe UI" w:hAnsi="Segoe UI" w:cs="Segoe UI"/>
          <w:b/>
          <w:bCs/>
        </w:rPr>
        <w:t>reductions</w:t>
      </w:r>
      <w:r>
        <w:rPr>
          <w:rFonts w:ascii="Segoe UI" w:hAnsi="Segoe UI" w:cs="Segoe UI"/>
          <w:b/>
          <w:bCs/>
        </w:rPr>
        <w:t>”</w:t>
      </w:r>
      <w:r w:rsidRPr="00454C81">
        <w:rPr>
          <w:rFonts w:ascii="Segoe UI" w:hAnsi="Segoe UI" w:cs="Segoe UI"/>
          <w:b/>
          <w:bCs/>
        </w:rPr>
        <w:t xml:space="preserve"> are well within the range of uncertainty </w:t>
      </w:r>
      <w:r>
        <w:rPr>
          <w:rFonts w:ascii="Segoe UI" w:hAnsi="Segoe UI" w:cs="Segoe UI"/>
          <w:b/>
          <w:bCs/>
        </w:rPr>
        <w:t xml:space="preserve">expected when </w:t>
      </w:r>
      <w:r w:rsidRPr="00454C81">
        <w:rPr>
          <w:rFonts w:ascii="Segoe UI" w:hAnsi="Segoe UI" w:cs="Segoe UI"/>
          <w:b/>
          <w:bCs/>
        </w:rPr>
        <w:t>shifting</w:t>
      </w:r>
      <w:r>
        <w:rPr>
          <w:rFonts w:ascii="Segoe UI" w:hAnsi="Segoe UI" w:cs="Segoe UI"/>
          <w:b/>
          <w:bCs/>
        </w:rPr>
        <w:t xml:space="preserve"> from lower quality data to higher quality data</w:t>
      </w:r>
      <w:r w:rsidRPr="00454C81">
        <w:rPr>
          <w:rFonts w:ascii="Segoe UI" w:hAnsi="Segoe UI" w:cs="Segoe UI"/>
          <w:b/>
          <w:bCs/>
        </w:rPr>
        <w:t xml:space="preserve"> – i.e., the “reductions,” if achieved under two different calculation approaches, are not credible or consistent with the</w:t>
      </w:r>
      <w:r>
        <w:rPr>
          <w:rFonts w:ascii="Segoe UI" w:hAnsi="Segoe UI" w:cs="Segoe UI"/>
          <w:b/>
          <w:bCs/>
        </w:rPr>
        <w:t xml:space="preserve"> </w:t>
      </w:r>
      <w:r w:rsidRPr="00454C81">
        <w:rPr>
          <w:rFonts w:ascii="Segoe UI" w:hAnsi="Segoe UI" w:cs="Segoe UI"/>
          <w:b/>
          <w:bCs/>
        </w:rPr>
        <w:t>statute.</w:t>
      </w:r>
    </w:p>
    <w:p w14:paraId="2516EBB4" w14:textId="0250AA9F" w:rsidR="00454C81" w:rsidRDefault="00454C81" w:rsidP="006F189E">
      <w:pPr>
        <w:rPr>
          <w:rFonts w:ascii="Segoe UI" w:hAnsi="Segoe UI" w:cs="Segoe UI"/>
        </w:rPr>
      </w:pPr>
      <w:r>
        <w:rPr>
          <w:rFonts w:ascii="Segoe UI" w:hAnsi="Segoe UI" w:cs="Segoe UI"/>
        </w:rPr>
        <w:t xml:space="preserve">In conclusion, </w:t>
      </w:r>
      <w:r>
        <w:rPr>
          <w:rFonts w:ascii="Segoe UI" w:hAnsi="Segoe UI" w:cs="Segoe UI"/>
        </w:rPr>
        <w:t>requir</w:t>
      </w:r>
      <w:r>
        <w:rPr>
          <w:rFonts w:ascii="Segoe UI" w:hAnsi="Segoe UI" w:cs="Segoe UI"/>
        </w:rPr>
        <w:t>ing</w:t>
      </w:r>
      <w:r>
        <w:rPr>
          <w:rFonts w:ascii="Segoe UI" w:hAnsi="Segoe UI" w:cs="Segoe UI"/>
        </w:rPr>
        <w:t xml:space="preserve"> ISO 14040 WBLCA reporting for all residential projects that are five units or more – as directed by the statute</w:t>
      </w:r>
      <w:r>
        <w:rPr>
          <w:rFonts w:ascii="Segoe UI" w:hAnsi="Segoe UI" w:cs="Segoe UI"/>
        </w:rPr>
        <w:t xml:space="preserve"> – and removing the (often contractually infeasible) cost per material requirement facilitates both the ease of implementation and achievement of the goals of AB 2446.</w:t>
      </w:r>
    </w:p>
    <w:p w14:paraId="7DE04631" w14:textId="77777777" w:rsidR="00454C81" w:rsidRDefault="00454C81" w:rsidP="006F189E">
      <w:pPr>
        <w:rPr>
          <w:rFonts w:ascii="Segoe UI" w:hAnsi="Segoe UI" w:cs="Segoe UI"/>
        </w:rPr>
      </w:pPr>
    </w:p>
    <w:p w14:paraId="31EAE680" w14:textId="77777777" w:rsidR="006F189E" w:rsidRDefault="006F189E" w:rsidP="006F189E">
      <w:pPr>
        <w:rPr>
          <w:rFonts w:ascii="Segoe UI" w:hAnsi="Segoe UI" w:cs="Segoe UI"/>
        </w:rPr>
      </w:pPr>
    </w:p>
    <w:p w14:paraId="479A3333" w14:textId="77777777" w:rsidR="006F189E" w:rsidRDefault="006F189E">
      <w:pPr>
        <w:rPr>
          <w:rFonts w:ascii="Segoe UI" w:hAnsi="Segoe UI" w:cs="Segoe UI"/>
        </w:rPr>
      </w:pPr>
    </w:p>
    <w:p w14:paraId="3F870284" w14:textId="77777777" w:rsidR="006F189E" w:rsidRPr="006F189E" w:rsidRDefault="006F189E">
      <w:pPr>
        <w:rPr>
          <w:rFonts w:ascii="Segoe UI" w:hAnsi="Segoe UI" w:cs="Segoe UI"/>
        </w:rPr>
      </w:pPr>
    </w:p>
    <w:sectPr w:rsidR="006F189E" w:rsidRPr="006F189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118DD1" w14:textId="77777777" w:rsidR="00DB182E" w:rsidRDefault="00DB182E" w:rsidP="006F189E">
      <w:pPr>
        <w:spacing w:after="0" w:line="240" w:lineRule="auto"/>
      </w:pPr>
      <w:r>
        <w:separator/>
      </w:r>
    </w:p>
  </w:endnote>
  <w:endnote w:type="continuationSeparator" w:id="0">
    <w:p w14:paraId="22D3D2B3" w14:textId="77777777" w:rsidR="00DB182E" w:rsidRDefault="00DB182E" w:rsidP="006F18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2DC91B" w14:textId="77777777" w:rsidR="00DB182E" w:rsidRDefault="00DB182E" w:rsidP="006F189E">
      <w:pPr>
        <w:spacing w:after="0" w:line="240" w:lineRule="auto"/>
      </w:pPr>
      <w:r>
        <w:separator/>
      </w:r>
    </w:p>
  </w:footnote>
  <w:footnote w:type="continuationSeparator" w:id="0">
    <w:p w14:paraId="3E56ABB3" w14:textId="77777777" w:rsidR="00DB182E" w:rsidRDefault="00DB182E" w:rsidP="006F189E">
      <w:pPr>
        <w:spacing w:after="0" w:line="240" w:lineRule="auto"/>
      </w:pPr>
      <w:r>
        <w:continuationSeparator/>
      </w:r>
    </w:p>
  </w:footnote>
  <w:footnote w:id="1">
    <w:p w14:paraId="57A3D248" w14:textId="46122777" w:rsidR="006F189E" w:rsidRPr="00454C81" w:rsidRDefault="006F189E">
      <w:pPr>
        <w:pStyle w:val="FootnoteText"/>
        <w:rPr>
          <w:rFonts w:ascii="Segoe UI" w:hAnsi="Segoe UI" w:cs="Segoe UI"/>
        </w:rPr>
      </w:pPr>
      <w:r w:rsidRPr="00454C81">
        <w:rPr>
          <w:rStyle w:val="FootnoteReference"/>
          <w:rFonts w:ascii="Segoe UI" w:hAnsi="Segoe UI" w:cs="Segoe UI"/>
        </w:rPr>
        <w:footnoteRef/>
      </w:r>
      <w:r w:rsidRPr="00454C81">
        <w:rPr>
          <w:rFonts w:ascii="Segoe UI" w:hAnsi="Segoe UI" w:cs="Segoe UI"/>
        </w:rPr>
        <w:t xml:space="preserve"> </w:t>
      </w:r>
      <w:r w:rsidRPr="00454C81">
        <w:rPr>
          <w:rFonts w:ascii="Segoe UI" w:hAnsi="Segoe UI" w:cs="Segoe UI"/>
        </w:rPr>
        <w:t xml:space="preserve">Greenhouse Gas Protocol Product Life Cycle Accounting and Reporting Standard, World Resources Institute, </w:t>
      </w:r>
      <w:r w:rsidRPr="00454C81">
        <w:rPr>
          <w:rFonts w:ascii="Segoe UI" w:hAnsi="Segoe UI" w:cs="Segoe UI"/>
        </w:rPr>
        <w:t>2011.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89E"/>
    <w:rsid w:val="0018336B"/>
    <w:rsid w:val="004143E4"/>
    <w:rsid w:val="00454C81"/>
    <w:rsid w:val="006F189E"/>
    <w:rsid w:val="007D20AA"/>
    <w:rsid w:val="00DB182E"/>
    <w:rsid w:val="00E33B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6EB10EA"/>
  <w15:chartTrackingRefBased/>
  <w15:docId w15:val="{B487791E-FAB3-B741-8F25-0C04CFF9D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18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18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18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18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18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18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18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18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18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18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18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18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18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18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18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18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18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189E"/>
    <w:rPr>
      <w:rFonts w:eastAsiaTheme="majorEastAsia" w:cstheme="majorBidi"/>
      <w:color w:val="272727" w:themeColor="text1" w:themeTint="D8"/>
    </w:rPr>
  </w:style>
  <w:style w:type="paragraph" w:styleId="Title">
    <w:name w:val="Title"/>
    <w:basedOn w:val="Normal"/>
    <w:next w:val="Normal"/>
    <w:link w:val="TitleChar"/>
    <w:uiPriority w:val="10"/>
    <w:qFormat/>
    <w:rsid w:val="006F18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18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18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18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189E"/>
    <w:pPr>
      <w:spacing w:before="160"/>
      <w:jc w:val="center"/>
    </w:pPr>
    <w:rPr>
      <w:i/>
      <w:iCs/>
      <w:color w:val="404040" w:themeColor="text1" w:themeTint="BF"/>
    </w:rPr>
  </w:style>
  <w:style w:type="character" w:customStyle="1" w:styleId="QuoteChar">
    <w:name w:val="Quote Char"/>
    <w:basedOn w:val="DefaultParagraphFont"/>
    <w:link w:val="Quote"/>
    <w:uiPriority w:val="29"/>
    <w:rsid w:val="006F189E"/>
    <w:rPr>
      <w:i/>
      <w:iCs/>
      <w:color w:val="404040" w:themeColor="text1" w:themeTint="BF"/>
    </w:rPr>
  </w:style>
  <w:style w:type="paragraph" w:styleId="ListParagraph">
    <w:name w:val="List Paragraph"/>
    <w:basedOn w:val="Normal"/>
    <w:uiPriority w:val="34"/>
    <w:qFormat/>
    <w:rsid w:val="006F189E"/>
    <w:pPr>
      <w:ind w:left="720"/>
      <w:contextualSpacing/>
    </w:pPr>
  </w:style>
  <w:style w:type="character" w:styleId="IntenseEmphasis">
    <w:name w:val="Intense Emphasis"/>
    <w:basedOn w:val="DefaultParagraphFont"/>
    <w:uiPriority w:val="21"/>
    <w:qFormat/>
    <w:rsid w:val="006F189E"/>
    <w:rPr>
      <w:i/>
      <w:iCs/>
      <w:color w:val="0F4761" w:themeColor="accent1" w:themeShade="BF"/>
    </w:rPr>
  </w:style>
  <w:style w:type="paragraph" w:styleId="IntenseQuote">
    <w:name w:val="Intense Quote"/>
    <w:basedOn w:val="Normal"/>
    <w:next w:val="Normal"/>
    <w:link w:val="IntenseQuoteChar"/>
    <w:uiPriority w:val="30"/>
    <w:qFormat/>
    <w:rsid w:val="006F18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189E"/>
    <w:rPr>
      <w:i/>
      <w:iCs/>
      <w:color w:val="0F4761" w:themeColor="accent1" w:themeShade="BF"/>
    </w:rPr>
  </w:style>
  <w:style w:type="character" w:styleId="IntenseReference">
    <w:name w:val="Intense Reference"/>
    <w:basedOn w:val="DefaultParagraphFont"/>
    <w:uiPriority w:val="32"/>
    <w:qFormat/>
    <w:rsid w:val="006F189E"/>
    <w:rPr>
      <w:b/>
      <w:bCs/>
      <w:smallCaps/>
      <w:color w:val="0F4761" w:themeColor="accent1" w:themeShade="BF"/>
      <w:spacing w:val="5"/>
    </w:rPr>
  </w:style>
  <w:style w:type="paragraph" w:styleId="FootnoteText">
    <w:name w:val="footnote text"/>
    <w:basedOn w:val="Normal"/>
    <w:link w:val="FootnoteTextChar"/>
    <w:uiPriority w:val="99"/>
    <w:semiHidden/>
    <w:unhideWhenUsed/>
    <w:rsid w:val="006F189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F189E"/>
    <w:rPr>
      <w:sz w:val="20"/>
      <w:szCs w:val="20"/>
    </w:rPr>
  </w:style>
  <w:style w:type="character" w:styleId="FootnoteReference">
    <w:name w:val="footnote reference"/>
    <w:basedOn w:val="DefaultParagraphFont"/>
    <w:uiPriority w:val="99"/>
    <w:semiHidden/>
    <w:unhideWhenUsed/>
    <w:rsid w:val="006F189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62502480">
      <w:bodyDiv w:val="1"/>
      <w:marLeft w:val="0"/>
      <w:marRight w:val="0"/>
      <w:marTop w:val="0"/>
      <w:marBottom w:val="0"/>
      <w:divBdr>
        <w:top w:val="none" w:sz="0" w:space="0" w:color="auto"/>
        <w:left w:val="none" w:sz="0" w:space="0" w:color="auto"/>
        <w:bottom w:val="none" w:sz="0" w:space="0" w:color="auto"/>
        <w:right w:val="none" w:sz="0" w:space="0" w:color="auto"/>
      </w:divBdr>
      <w:divsChild>
        <w:div w:id="1729645645">
          <w:marLeft w:val="24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799740-FEC3-704D-993D-4D55049AA2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3</Pages>
  <Words>906</Words>
  <Characters>5167</Characters>
  <Application>Microsoft Office Word</Application>
  <DocSecurity>0</DocSecurity>
  <Lines>43</Lines>
  <Paragraphs>12</Paragraphs>
  <ScaleCrop>false</ScaleCrop>
  <Company/>
  <LinksUpToDate>false</LinksUpToDate>
  <CharactersWithSpaces>6061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Ursillo</dc:creator>
  <cp:keywords/>
  <dc:description/>
  <cp:lastModifiedBy>Jonathan Ursillo</cp:lastModifiedBy>
  <cp:revision>3</cp:revision>
  <dcterms:created xsi:type="dcterms:W3CDTF">2025-12-08T20:59:00Z</dcterms:created>
  <dcterms:modified xsi:type="dcterms:W3CDTF">2025-12-08T22:32:00Z</dcterms:modified>
</cp:coreProperties>
</file>