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36A9A7" w14:textId="1761CBA5" w:rsidR="002E2345" w:rsidRPr="002E2345" w:rsidRDefault="002E2345" w:rsidP="002E2345"/>
    <w:p w14:paraId="5C175551" w14:textId="40567407" w:rsidR="002E2345" w:rsidRPr="002E2345" w:rsidRDefault="000211CD" w:rsidP="002E2345">
      <w:r>
        <w:rPr>
          <w:b/>
        </w:rPr>
        <w:t>Climate Earth Inc.</w:t>
      </w:r>
      <w:r w:rsidR="002E2345" w:rsidRPr="002E2345">
        <w:br/>
      </w:r>
      <w:r>
        <w:t>1024 Hill Meadow PL</w:t>
      </w:r>
      <w:r w:rsidR="002E2345" w:rsidRPr="002E2345">
        <w:br/>
      </w:r>
      <w:r>
        <w:t>Danville, CA 94526</w:t>
      </w:r>
      <w:r w:rsidR="002E2345" w:rsidRPr="002E2345">
        <w:br/>
      </w:r>
      <w:r>
        <w:t>Karl@ClimateEarth.com</w:t>
      </w:r>
      <w:r w:rsidR="002E2345" w:rsidRPr="002E2345">
        <w:br/>
      </w:r>
      <w:r>
        <w:t>12/6/2025</w:t>
      </w:r>
    </w:p>
    <w:p w14:paraId="0630E29D" w14:textId="77777777" w:rsidR="002E2345" w:rsidRPr="002E2345" w:rsidRDefault="002E2345" w:rsidP="002E2345">
      <w:r w:rsidRPr="002E2345">
        <w:rPr>
          <w:b/>
        </w:rPr>
        <w:t>To:</w:t>
      </w:r>
      <w:r w:rsidRPr="002E2345">
        <w:br/>
        <w:t>California Air Resources Board</w:t>
      </w:r>
      <w:r w:rsidRPr="002E2345">
        <w:br/>
        <w:t>1001 I Street</w:t>
      </w:r>
      <w:r w:rsidRPr="002E2345">
        <w:br/>
        <w:t>Sacramento, CA 95814</w:t>
      </w:r>
    </w:p>
    <w:p w14:paraId="1C7260E0" w14:textId="2A6DFCE1" w:rsidR="002E2345" w:rsidRPr="002E2345" w:rsidRDefault="002E2345" w:rsidP="002E2345">
      <w:r w:rsidRPr="002E2345">
        <w:rPr>
          <w:b/>
        </w:rPr>
        <w:t>Subject:</w:t>
      </w:r>
      <w:r w:rsidRPr="002E2345">
        <w:t xml:space="preserve"> Recommendations to Strengthen AB 2446 </w:t>
      </w:r>
      <w:r w:rsidR="000211CD">
        <w:t xml:space="preserve">&amp; AB 43 </w:t>
      </w:r>
      <w:r w:rsidRPr="002E2345">
        <w:t xml:space="preserve">Implementation and </w:t>
      </w:r>
      <w:r>
        <w:t xml:space="preserve">solidify </w:t>
      </w:r>
      <w:r w:rsidRPr="002E2345">
        <w:t>California’s Global Leadership in Carbon Reduction</w:t>
      </w:r>
    </w:p>
    <w:p w14:paraId="6AFB41EC" w14:textId="77777777" w:rsidR="002E2345" w:rsidRPr="002E2345" w:rsidRDefault="002E2345" w:rsidP="002E2345">
      <w:r w:rsidRPr="002E2345">
        <w:t>Dear Chair Randolph and Members of the Board,</w:t>
      </w:r>
    </w:p>
    <w:p w14:paraId="441CDEB0" w14:textId="0281D97E" w:rsidR="002E2345" w:rsidRPr="002E2345" w:rsidRDefault="002E2345" w:rsidP="002E2345">
      <w:r w:rsidRPr="002E2345">
        <w:t xml:space="preserve">We commend the California Air Resources Board (CARB) for its leadership in implementing Assembly Bill 2446 </w:t>
      </w:r>
      <w:r w:rsidR="000211CD">
        <w:t xml:space="preserve">&amp; AB 43 </w:t>
      </w:r>
      <w:r w:rsidRPr="002E2345">
        <w:t>and for its commitment to reducing embodied carbon in building materials. This initiative positions California as a global model for climate-aligned construction and signals to markets worldwide that carbon transparency and performance are the new standard.</w:t>
      </w:r>
    </w:p>
    <w:p w14:paraId="2297EBC4" w14:textId="77777777" w:rsidR="002E2345" w:rsidRPr="002E2345" w:rsidRDefault="002E2345" w:rsidP="002E2345">
      <w:r w:rsidRPr="002E2345">
        <w:t>As industry leaders who have long championed low-carbon innovation, we are encouraged by CARB’s progress to date. However, we believe several refinements are necessary to ensure the framework is both effective and equitable—rewarding leadership, enabling compliance, and safeguarding integrity.</w:t>
      </w:r>
    </w:p>
    <w:p w14:paraId="393C9246" w14:textId="77777777" w:rsidR="002E2345" w:rsidRPr="002E2345" w:rsidRDefault="002E2345" w:rsidP="002E2345">
      <w:r w:rsidRPr="002E2345">
        <w:t>We respectfully offer the following recommendations:</w:t>
      </w:r>
    </w:p>
    <w:p w14:paraId="63C459A0" w14:textId="77777777" w:rsidR="002E2345" w:rsidRPr="002E2345" w:rsidRDefault="004E40CC" w:rsidP="002E2345">
      <w:r>
        <w:rPr>
          <w:noProof/>
        </w:rPr>
        <w:pict w14:anchorId="5E7F35A0">
          <v:rect id="_x0000_i1034" alt="" style="width:359.9pt;height:.05pt;mso-width-percent:0;mso-height-percent:0;mso-width-percent:0;mso-height-percent:0" o:hrpct="769" o:hralign="center" o:hrstd="t" o:hr="t" fillcolor="#a0a0a0" stroked="f"/>
        </w:pict>
      </w:r>
    </w:p>
    <w:p w14:paraId="7EAF32ED" w14:textId="77777777" w:rsidR="002E2345" w:rsidRPr="002E2345" w:rsidRDefault="002E2345" w:rsidP="000211CD">
      <w:pPr>
        <w:rPr>
          <w:b/>
        </w:rPr>
      </w:pPr>
      <w:r w:rsidRPr="002E2345">
        <w:rPr>
          <w:b/>
        </w:rPr>
        <w:t>1. Recognize and Reward Early Action</w:t>
      </w:r>
    </w:p>
    <w:p w14:paraId="2241AC34" w14:textId="77777777" w:rsidR="002E2345" w:rsidRPr="002E2345" w:rsidRDefault="002E2345" w:rsidP="000211CD">
      <w:r w:rsidRPr="002E2345">
        <w:t xml:space="preserve">The decision to use </w:t>
      </w:r>
      <w:r w:rsidRPr="002E2345">
        <w:rPr>
          <w:b/>
        </w:rPr>
        <w:t>2026 as the baseline year</w:t>
      </w:r>
      <w:r w:rsidRPr="002E2345">
        <w:t xml:space="preserve"> unintentionally penalizes producers who have already achieved deep carbon reductions. Many of us have met or exceeded the 2035 target—years ahead of schedule—through investments in mix optimization, EPD transparency, and SCM integration.</w:t>
      </w:r>
    </w:p>
    <w:p w14:paraId="7010DE20" w14:textId="77777777" w:rsidR="000211CD" w:rsidRDefault="002E2345" w:rsidP="000211CD">
      <w:r w:rsidRPr="002E2345">
        <w:t xml:space="preserve">We urge CARB to adopt an </w:t>
      </w:r>
      <w:r w:rsidRPr="002E2345">
        <w:rPr>
          <w:b/>
        </w:rPr>
        <w:t>Early Action Credit Mechanism</w:t>
      </w:r>
      <w:r w:rsidRPr="002E2345">
        <w:t xml:space="preserve"> that:</w:t>
      </w:r>
    </w:p>
    <w:p w14:paraId="10064AA2" w14:textId="77777777" w:rsidR="000211CD" w:rsidRDefault="002E2345" w:rsidP="000211CD">
      <w:pPr>
        <w:pStyle w:val="ListParagraph"/>
        <w:numPr>
          <w:ilvl w:val="0"/>
          <w:numId w:val="9"/>
        </w:numPr>
      </w:pPr>
      <w:r w:rsidRPr="002E2345">
        <w:t>Recognizes verified reductions made between 2013–2025</w:t>
      </w:r>
    </w:p>
    <w:p w14:paraId="7930566E" w14:textId="77777777" w:rsidR="000211CD" w:rsidRDefault="002E2345" w:rsidP="000211CD">
      <w:pPr>
        <w:pStyle w:val="ListParagraph"/>
        <w:numPr>
          <w:ilvl w:val="0"/>
          <w:numId w:val="9"/>
        </w:numPr>
      </w:pPr>
      <w:r w:rsidRPr="002E2345">
        <w:t>Allows producers to apply these reductions toward future targets</w:t>
      </w:r>
    </w:p>
    <w:p w14:paraId="76E9586E" w14:textId="4677B38F" w:rsidR="002E2345" w:rsidRPr="002E2345" w:rsidRDefault="002E2345" w:rsidP="000211CD">
      <w:pPr>
        <w:pStyle w:val="ListParagraph"/>
        <w:numPr>
          <w:ilvl w:val="0"/>
          <w:numId w:val="9"/>
        </w:numPr>
      </w:pPr>
      <w:r w:rsidRPr="002E2345">
        <w:t>Uses third-party verified EPDs and LCAs as documentation</w:t>
      </w:r>
    </w:p>
    <w:p w14:paraId="70F26447" w14:textId="77777777" w:rsidR="002E2345" w:rsidRPr="002E2345" w:rsidRDefault="004E40CC" w:rsidP="002E2345">
      <w:r>
        <w:rPr>
          <w:noProof/>
        </w:rPr>
        <w:pict w14:anchorId="1FCF48FD">
          <v:rect id="_x0000_i1033" alt="" style="width:359.9pt;height:.05pt;mso-width-percent:0;mso-height-percent:0;mso-width-percent:0;mso-height-percent:0" o:hrpct="769" o:hralign="center" o:hrstd="t" o:hr="t" fillcolor="#a0a0a0" stroked="f"/>
        </w:pict>
      </w:r>
    </w:p>
    <w:p w14:paraId="1DFDDC6D" w14:textId="77777777" w:rsidR="002E2345" w:rsidRPr="002E2345" w:rsidRDefault="002E2345" w:rsidP="002E2345">
      <w:pPr>
        <w:rPr>
          <w:b/>
        </w:rPr>
      </w:pPr>
      <w:r w:rsidRPr="002E2345">
        <w:rPr>
          <w:b/>
        </w:rPr>
        <w:lastRenderedPageBreak/>
        <w:t>2. Strengthen Verification Capacity and Standards</w:t>
      </w:r>
    </w:p>
    <w:p w14:paraId="2EFDF2FA" w14:textId="77777777" w:rsidR="002E2345" w:rsidRPr="002E2345" w:rsidRDefault="002E2345" w:rsidP="002E2345">
      <w:r w:rsidRPr="002E2345">
        <w:t>To ensure consistency and credibility across the industry, CARB should:</w:t>
      </w:r>
    </w:p>
    <w:p w14:paraId="5F5F2F32" w14:textId="77777777" w:rsidR="002E2345" w:rsidRPr="002E2345" w:rsidRDefault="002E2345" w:rsidP="002E2345">
      <w:pPr>
        <w:numPr>
          <w:ilvl w:val="0"/>
          <w:numId w:val="4"/>
        </w:numPr>
      </w:pPr>
      <w:r w:rsidRPr="002E2345">
        <w:rPr>
          <w:b/>
        </w:rPr>
        <w:t>Fund verifier training programs</w:t>
      </w:r>
      <w:r w:rsidRPr="002E2345">
        <w:t xml:space="preserve"> aligned with ISO 21930 and CARB-approved EPD protocols</w:t>
      </w:r>
    </w:p>
    <w:p w14:paraId="61A26ADA" w14:textId="77777777" w:rsidR="002E2345" w:rsidRPr="002E2345" w:rsidRDefault="002E2345" w:rsidP="002E2345">
      <w:pPr>
        <w:numPr>
          <w:ilvl w:val="0"/>
          <w:numId w:val="4"/>
        </w:numPr>
      </w:pPr>
      <w:r w:rsidRPr="002E2345">
        <w:rPr>
          <w:b/>
        </w:rPr>
        <w:t>Institute a statewide verification standard</w:t>
      </w:r>
      <w:r w:rsidRPr="002E2345">
        <w:t xml:space="preserve">, requiring that all EPDs be reviewed and approved by </w:t>
      </w:r>
      <w:r w:rsidRPr="002E2345">
        <w:rPr>
          <w:b/>
        </w:rPr>
        <w:t>certified, CARB-regulated bodies</w:t>
      </w:r>
    </w:p>
    <w:p w14:paraId="2EEA174C" w14:textId="77777777" w:rsidR="002E2345" w:rsidRPr="002E2345" w:rsidRDefault="002E2345" w:rsidP="002E2345">
      <w:pPr>
        <w:numPr>
          <w:ilvl w:val="0"/>
          <w:numId w:val="4"/>
        </w:numPr>
      </w:pPr>
      <w:r w:rsidRPr="002E2345">
        <w:rPr>
          <w:b/>
        </w:rPr>
        <w:t>Eliminate self-verification</w:t>
      </w:r>
      <w:r w:rsidRPr="002E2345">
        <w:t xml:space="preserve"> and close loopholes that allow inconsistent or unregulated reporting</w:t>
      </w:r>
    </w:p>
    <w:p w14:paraId="658C79E0" w14:textId="77777777" w:rsidR="002E2345" w:rsidRPr="002E2345" w:rsidRDefault="004E40CC" w:rsidP="002E2345">
      <w:r>
        <w:rPr>
          <w:noProof/>
        </w:rPr>
        <w:pict w14:anchorId="23D9D1B4">
          <v:rect id="_x0000_i1032" alt="" style="width:359.9pt;height:.05pt;mso-width-percent:0;mso-height-percent:0;mso-width-percent:0;mso-height-percent:0" o:hrpct="769" o:hralign="center" o:hrstd="t" o:hr="t" fillcolor="#a0a0a0" stroked="f"/>
        </w:pict>
      </w:r>
    </w:p>
    <w:p w14:paraId="592C7A37" w14:textId="77777777" w:rsidR="002E2345" w:rsidRPr="002E2345" w:rsidRDefault="002E2345" w:rsidP="002E2345">
      <w:pPr>
        <w:rPr>
          <w:b/>
        </w:rPr>
      </w:pPr>
      <w:r w:rsidRPr="002E2345">
        <w:rPr>
          <w:b/>
        </w:rPr>
        <w:t>3. Support CARB-Controlled Digital Infrastructure</w:t>
      </w:r>
    </w:p>
    <w:p w14:paraId="1A5962C7" w14:textId="77777777" w:rsidR="002E2345" w:rsidRPr="002E2345" w:rsidRDefault="002E2345" w:rsidP="002E2345">
      <w:r w:rsidRPr="002E2345">
        <w:t xml:space="preserve">We support CARB’s intent to build its own </w:t>
      </w:r>
      <w:r w:rsidRPr="002E2345">
        <w:rPr>
          <w:b/>
        </w:rPr>
        <w:t>digital repository</w:t>
      </w:r>
      <w:r w:rsidRPr="002E2345">
        <w:t xml:space="preserve"> for EPDs and embodied carbon data. This is a critical step toward:</w:t>
      </w:r>
    </w:p>
    <w:p w14:paraId="722F3B1D" w14:textId="77777777" w:rsidR="002E2345" w:rsidRPr="002E2345" w:rsidRDefault="002E2345" w:rsidP="002E2345">
      <w:pPr>
        <w:numPr>
          <w:ilvl w:val="0"/>
          <w:numId w:val="5"/>
        </w:numPr>
      </w:pPr>
      <w:r w:rsidRPr="002E2345">
        <w:t xml:space="preserve">Ensuring </w:t>
      </w:r>
      <w:r w:rsidRPr="002E2345">
        <w:rPr>
          <w:b/>
        </w:rPr>
        <w:t>unbiased, non-commercial control</w:t>
      </w:r>
      <w:r w:rsidRPr="002E2345">
        <w:t xml:space="preserve"> of public data</w:t>
      </w:r>
    </w:p>
    <w:p w14:paraId="18FBCB09" w14:textId="7251B373" w:rsidR="002E2345" w:rsidRPr="002E2345" w:rsidRDefault="002E2345" w:rsidP="002E2345">
      <w:pPr>
        <w:numPr>
          <w:ilvl w:val="0"/>
          <w:numId w:val="5"/>
        </w:numPr>
      </w:pPr>
      <w:r w:rsidRPr="002E2345">
        <w:t>Avoiding reliance on proprietary platforms that may introduce conflicts of interest</w:t>
      </w:r>
    </w:p>
    <w:p w14:paraId="0EA8E9B8" w14:textId="77777777" w:rsidR="002E2345" w:rsidRPr="002E2345" w:rsidRDefault="002E2345" w:rsidP="002E2345">
      <w:pPr>
        <w:numPr>
          <w:ilvl w:val="0"/>
          <w:numId w:val="5"/>
        </w:numPr>
      </w:pPr>
      <w:r w:rsidRPr="002E2345">
        <w:t xml:space="preserve">Creating a </w:t>
      </w:r>
      <w:r w:rsidRPr="002E2345">
        <w:rPr>
          <w:b/>
        </w:rPr>
        <w:t>single source of truth</w:t>
      </w:r>
      <w:r w:rsidRPr="002E2345">
        <w:t xml:space="preserve"> for specifiers, regulators, and producers</w:t>
      </w:r>
    </w:p>
    <w:p w14:paraId="011AFC55" w14:textId="77777777" w:rsidR="002E2345" w:rsidRPr="002E2345" w:rsidRDefault="002E2345" w:rsidP="002E2345">
      <w:r w:rsidRPr="002E2345">
        <w:t>We encourage CARB to move forward with this effort and to engage stakeholders in its design and governance.</w:t>
      </w:r>
    </w:p>
    <w:p w14:paraId="034EFD1C" w14:textId="77777777" w:rsidR="002E2345" w:rsidRPr="002E2345" w:rsidRDefault="004E40CC" w:rsidP="002E2345">
      <w:r>
        <w:rPr>
          <w:noProof/>
        </w:rPr>
        <w:pict w14:anchorId="7B4BE1BE">
          <v:rect id="_x0000_i1031" alt="" style="width:359.9pt;height:.05pt;mso-width-percent:0;mso-height-percent:0;mso-width-percent:0;mso-height-percent:0" o:hrpct="769" o:hralign="center" o:hrstd="t" o:hr="t" fillcolor="#a0a0a0" stroked="f"/>
        </w:pict>
      </w:r>
    </w:p>
    <w:p w14:paraId="0850BF71" w14:textId="77777777" w:rsidR="002E2345" w:rsidRPr="002E2345" w:rsidRDefault="002E2345" w:rsidP="002E2345">
      <w:pPr>
        <w:rPr>
          <w:b/>
        </w:rPr>
      </w:pPr>
      <w:r w:rsidRPr="002E2345">
        <w:rPr>
          <w:b/>
        </w:rPr>
        <w:t>4. Enforce Compliance Through Oversight and Auditing</w:t>
      </w:r>
    </w:p>
    <w:p w14:paraId="1CCD0DBB" w14:textId="77777777" w:rsidR="002E2345" w:rsidRPr="002E2345" w:rsidRDefault="002E2345" w:rsidP="002E2345">
      <w:r w:rsidRPr="002E2345">
        <w:t>Accountability is essential. We recommend that CARB:</w:t>
      </w:r>
    </w:p>
    <w:p w14:paraId="01948890" w14:textId="77777777" w:rsidR="002E2345" w:rsidRPr="002E2345" w:rsidRDefault="002E2345" w:rsidP="002E2345">
      <w:pPr>
        <w:numPr>
          <w:ilvl w:val="0"/>
          <w:numId w:val="6"/>
        </w:numPr>
      </w:pPr>
      <w:r w:rsidRPr="002E2345">
        <w:rPr>
          <w:b/>
        </w:rPr>
        <w:t>Establish and fund an enforcement agency</w:t>
      </w:r>
      <w:r w:rsidRPr="002E2345">
        <w:t xml:space="preserve"> to oversee verifying bodies and producers</w:t>
      </w:r>
    </w:p>
    <w:p w14:paraId="3A47BD93" w14:textId="77777777" w:rsidR="002E2345" w:rsidRPr="002E2345" w:rsidRDefault="002E2345" w:rsidP="002E2345">
      <w:pPr>
        <w:numPr>
          <w:ilvl w:val="0"/>
          <w:numId w:val="6"/>
        </w:numPr>
      </w:pPr>
      <w:r w:rsidRPr="002E2345">
        <w:t xml:space="preserve">Implement </w:t>
      </w:r>
      <w:r w:rsidRPr="002E2345">
        <w:rPr>
          <w:b/>
        </w:rPr>
        <w:t>two-sided audits</w:t>
      </w:r>
      <w:r w:rsidRPr="002E2345">
        <w:t xml:space="preserve"> that: </w:t>
      </w:r>
    </w:p>
    <w:p w14:paraId="6D409242" w14:textId="77777777" w:rsidR="002E2345" w:rsidRPr="002E2345" w:rsidRDefault="002E2345" w:rsidP="002E2345">
      <w:pPr>
        <w:numPr>
          <w:ilvl w:val="1"/>
          <w:numId w:val="6"/>
        </w:numPr>
      </w:pPr>
      <w:r w:rsidRPr="002E2345">
        <w:t>Confirm specifiers and builders are requiring CARB-approved EPDs</w:t>
      </w:r>
    </w:p>
    <w:p w14:paraId="6137DBD2" w14:textId="77777777" w:rsidR="002E2345" w:rsidRPr="002E2345" w:rsidRDefault="002E2345" w:rsidP="002E2345">
      <w:pPr>
        <w:numPr>
          <w:ilvl w:val="1"/>
          <w:numId w:val="6"/>
        </w:numPr>
      </w:pPr>
      <w:r w:rsidRPr="002E2345">
        <w:t>Validate that installed materials match submitted EPDs</w:t>
      </w:r>
    </w:p>
    <w:p w14:paraId="36F8EC38" w14:textId="77777777" w:rsidR="002E2345" w:rsidRPr="002E2345" w:rsidRDefault="002E2345" w:rsidP="002E2345">
      <w:pPr>
        <w:numPr>
          <w:ilvl w:val="1"/>
          <w:numId w:val="6"/>
        </w:numPr>
      </w:pPr>
      <w:r w:rsidRPr="002E2345">
        <w:t>Detect and deter substandard reporting, forgery, or mix substitution</w:t>
      </w:r>
    </w:p>
    <w:p w14:paraId="068AED86" w14:textId="77777777" w:rsidR="002E2345" w:rsidRPr="002E2345" w:rsidRDefault="004E40CC" w:rsidP="002E2345">
      <w:r>
        <w:rPr>
          <w:noProof/>
        </w:rPr>
        <w:pict w14:anchorId="23F0C763">
          <v:rect id="_x0000_i1030" alt="" style="width:359.9pt;height:.05pt;mso-width-percent:0;mso-height-percent:0;mso-width-percent:0;mso-height-percent:0" o:hrpct="769" o:hralign="center" o:hrstd="t" o:hr="t" fillcolor="#a0a0a0" stroked="f"/>
        </w:pict>
      </w:r>
    </w:p>
    <w:p w14:paraId="30A75E49" w14:textId="77777777" w:rsidR="000211CD" w:rsidRDefault="000211CD" w:rsidP="002E2345">
      <w:pPr>
        <w:rPr>
          <w:b/>
        </w:rPr>
      </w:pPr>
    </w:p>
    <w:p w14:paraId="1AC6E49B" w14:textId="548FEDEC" w:rsidR="002E2345" w:rsidRPr="002E2345" w:rsidRDefault="002E2345" w:rsidP="002E2345">
      <w:pPr>
        <w:rPr>
          <w:b/>
        </w:rPr>
      </w:pPr>
      <w:r w:rsidRPr="002E2345">
        <w:rPr>
          <w:b/>
        </w:rPr>
        <w:lastRenderedPageBreak/>
        <w:t>5. Define and Uphold a High Standard for “CARB-Approved” EPDs</w:t>
      </w:r>
    </w:p>
    <w:p w14:paraId="5B3CC741" w14:textId="77777777" w:rsidR="002E2345" w:rsidRPr="002E2345" w:rsidRDefault="002E2345" w:rsidP="00B27181">
      <w:r w:rsidRPr="002E2345">
        <w:t xml:space="preserve">We support CARB’s proposed </w:t>
      </w:r>
      <w:r w:rsidRPr="002E2345">
        <w:rPr>
          <w:b/>
        </w:rPr>
        <w:t>Method 1</w:t>
      </w:r>
      <w:r w:rsidRPr="002E2345">
        <w:t xml:space="preserve"> as the default by 2030:</w:t>
      </w:r>
    </w:p>
    <w:p w14:paraId="45B4E440" w14:textId="77777777" w:rsidR="002E2345" w:rsidRPr="002E2345" w:rsidRDefault="002E2345" w:rsidP="002E2345">
      <w:pPr>
        <w:numPr>
          <w:ilvl w:val="0"/>
          <w:numId w:val="7"/>
        </w:numPr>
      </w:pPr>
      <w:r w:rsidRPr="002E2345">
        <w:t>Plant- and product-specific</w:t>
      </w:r>
    </w:p>
    <w:p w14:paraId="47A54AB5" w14:textId="77777777" w:rsidR="002E2345" w:rsidRPr="002E2345" w:rsidRDefault="002E2345" w:rsidP="002E2345">
      <w:pPr>
        <w:numPr>
          <w:ilvl w:val="0"/>
          <w:numId w:val="7"/>
        </w:numPr>
      </w:pPr>
      <w:r w:rsidRPr="002E2345">
        <w:t>ISO-compliant and disaggregated</w:t>
      </w:r>
    </w:p>
    <w:p w14:paraId="6863CCBB" w14:textId="77777777" w:rsidR="002E2345" w:rsidRPr="002E2345" w:rsidRDefault="002E2345" w:rsidP="002E2345">
      <w:pPr>
        <w:numPr>
          <w:ilvl w:val="0"/>
          <w:numId w:val="7"/>
        </w:numPr>
      </w:pPr>
      <w:r w:rsidRPr="002E2345">
        <w:t>Supply chain-specific, with no offsets</w:t>
      </w:r>
    </w:p>
    <w:p w14:paraId="57B20C41" w14:textId="2F646C2B" w:rsidR="002E2345" w:rsidRDefault="002E2345" w:rsidP="002E2345">
      <w:r w:rsidRPr="002E2345">
        <w:t xml:space="preserve">This method ensures rigor, comparability, and integrity. While </w:t>
      </w:r>
      <w:r w:rsidRPr="002E2345">
        <w:rPr>
          <w:b/>
        </w:rPr>
        <w:t>Method 2</w:t>
      </w:r>
      <w:r w:rsidRPr="002E2345">
        <w:t xml:space="preserve"> (facility-wide totals using a CARB-approved equation) may be easier for some producers, it risks diluting the standard</w:t>
      </w:r>
      <w:r w:rsidR="008B78BC">
        <w:t xml:space="preserve"> by using industry average emission factors</w:t>
      </w:r>
      <w:r w:rsidRPr="002E2345">
        <w:t>. We urge CARB to clearly define “CARB-approved” EPDs and phase in Method 1 as the universal requirement.</w:t>
      </w:r>
    </w:p>
    <w:p w14:paraId="18F3D590" w14:textId="5F000552" w:rsidR="00A5585F" w:rsidRPr="002E2345" w:rsidRDefault="00A5585F" w:rsidP="002E2345">
      <w:r>
        <w:t>We also recognize that while the use of average epd data per plant may be easier for some producers</w:t>
      </w:r>
      <w:r w:rsidR="00335E08">
        <w:t xml:space="preserve"> given alignment to existing reporting requirements</w:t>
      </w:r>
      <w:r>
        <w:t xml:space="preserve">, it fails to recognize </w:t>
      </w:r>
      <w:r w:rsidR="00D111E6">
        <w:t>upstream embodied emissions or energy used in the production process</w:t>
      </w:r>
      <w:r w:rsidR="00335E08">
        <w:t>, materially understating real carbon emissions, or recognize the differences in product types and production methods from one plant to the next.</w:t>
      </w:r>
      <w:r w:rsidR="008B78BC">
        <w:t xml:space="preserve"> It would act as a disincentive to producers actively investing to transform to achieve the State’s real goal.</w:t>
      </w:r>
      <w:r w:rsidR="00335E08">
        <w:t xml:space="preserve"> </w:t>
      </w:r>
    </w:p>
    <w:p w14:paraId="648D1026" w14:textId="77777777" w:rsidR="002E2345" w:rsidRPr="002E2345" w:rsidRDefault="004E40CC" w:rsidP="002E2345">
      <w:r>
        <w:rPr>
          <w:noProof/>
        </w:rPr>
        <w:pict w14:anchorId="20013A75">
          <v:rect id="_x0000_i1029" alt="" style="width:359.9pt;height:.05pt;mso-width-percent:0;mso-height-percent:0;mso-width-percent:0;mso-height-percent:0" o:hrpct="769" o:hralign="center" o:hrstd="t" o:hr="t" fillcolor="#a0a0a0" stroked="f"/>
        </w:pict>
      </w:r>
    </w:p>
    <w:p w14:paraId="12B16949" w14:textId="77777777" w:rsidR="002E2345" w:rsidRPr="002E2345" w:rsidRDefault="002E2345" w:rsidP="002E2345">
      <w:pPr>
        <w:rPr>
          <w:b/>
        </w:rPr>
      </w:pPr>
      <w:r w:rsidRPr="002E2345">
        <w:rPr>
          <w:b/>
        </w:rPr>
        <w:t>6. Facilitate ERP Integration and Data Reporting</w:t>
      </w:r>
    </w:p>
    <w:p w14:paraId="3B20C314" w14:textId="6375D88A" w:rsidR="002E2345" w:rsidRPr="002E2345" w:rsidRDefault="002E2345" w:rsidP="002E2345">
      <w:r w:rsidRPr="002E2345">
        <w:t xml:space="preserve">CARB’s requirement to report </w:t>
      </w:r>
      <w:r w:rsidRPr="002E2345">
        <w:rPr>
          <w:b/>
        </w:rPr>
        <w:t>cost, production volume, and revenue</w:t>
      </w:r>
      <w:r w:rsidRPr="002E2345">
        <w:t xml:space="preserve"> alongside embodied carbon </w:t>
      </w:r>
      <w:r w:rsidR="00256B96">
        <w:t xml:space="preserve">will present many challenges in data privacy and technical readiness, which </w:t>
      </w:r>
      <w:r w:rsidRPr="002E2345">
        <w:t>will be uneven without support</w:t>
      </w:r>
      <w:r w:rsidR="00256B96">
        <w:t>. If CARB remains firm on this requirement,</w:t>
      </w:r>
    </w:p>
    <w:p w14:paraId="72E89A86" w14:textId="77777777" w:rsidR="002E2345" w:rsidRPr="002E2345" w:rsidRDefault="002E2345" w:rsidP="002E2345">
      <w:r w:rsidRPr="002E2345">
        <w:t>We recommend:</w:t>
      </w:r>
    </w:p>
    <w:p w14:paraId="607CF2BA" w14:textId="38F28C76" w:rsidR="002E2345" w:rsidRPr="002E2345" w:rsidRDefault="002E2345" w:rsidP="002E2345">
      <w:pPr>
        <w:numPr>
          <w:ilvl w:val="0"/>
          <w:numId w:val="8"/>
        </w:numPr>
      </w:pPr>
      <w:r w:rsidRPr="002E2345">
        <w:t xml:space="preserve">Creating a </w:t>
      </w:r>
      <w:r w:rsidRPr="002E2345">
        <w:rPr>
          <w:b/>
        </w:rPr>
        <w:t>technical assistance fund</w:t>
      </w:r>
      <w:r w:rsidRPr="002E2345">
        <w:t xml:space="preserve"> to help software providers build ERP integrations for producers</w:t>
      </w:r>
      <w:r w:rsidR="00B27181">
        <w:t>.</w:t>
      </w:r>
    </w:p>
    <w:p w14:paraId="12BA497A" w14:textId="77777777" w:rsidR="002E2345" w:rsidRPr="002E2345" w:rsidRDefault="004E40CC" w:rsidP="002E2345">
      <w:r>
        <w:rPr>
          <w:noProof/>
        </w:rPr>
        <w:pict w14:anchorId="6E9AB53D">
          <v:rect id="_x0000_i1028" alt="" style="width:359.9pt;height:.05pt;mso-width-percent:0;mso-height-percent:0;mso-width-percent:0;mso-height-percent:0" o:hrpct="769" o:hralign="center" o:hrstd="t" o:hr="t" fillcolor="#a0a0a0" stroked="f"/>
        </w:pict>
      </w:r>
    </w:p>
    <w:p w14:paraId="0FA17B41" w14:textId="77777777" w:rsidR="002E2345" w:rsidRPr="002E2345" w:rsidRDefault="002E2345" w:rsidP="002E2345">
      <w:pPr>
        <w:rPr>
          <w:b/>
        </w:rPr>
      </w:pPr>
      <w:r w:rsidRPr="002E2345">
        <w:rPr>
          <w:b/>
        </w:rPr>
        <w:t>7. Exempt Low-Volume Producers Through Thresholds</w:t>
      </w:r>
    </w:p>
    <w:p w14:paraId="78F35560" w14:textId="72E4318D" w:rsidR="00256B96" w:rsidRPr="002E2345" w:rsidRDefault="002E2345" w:rsidP="00B27181">
      <w:pPr>
        <w:numPr>
          <w:ilvl w:val="0"/>
          <w:numId w:val="8"/>
        </w:numPr>
      </w:pPr>
      <w:r w:rsidRPr="002E2345">
        <w:t>To ensure fairness and focus, CARB should consider a</w:t>
      </w:r>
      <w:r w:rsidR="008B78BC">
        <w:t>n increased</w:t>
      </w:r>
      <w:r w:rsidRPr="002E2345">
        <w:t xml:space="preserve"> </w:t>
      </w:r>
      <w:r w:rsidRPr="002E2345">
        <w:rPr>
          <w:b/>
        </w:rPr>
        <w:t>production or revenue threshold</w:t>
      </w:r>
      <w:r w:rsidRPr="002E2345">
        <w:t xml:space="preserve"> below which reporting requirements are waived or simplified. Many rural producers lack the technical capacity to comply and contribute minimally to statewide emissions. Supporting this exemption demonstrates that we are committed not only to carbon reduction—but to a just and inclusive transition.</w:t>
      </w:r>
      <w:r w:rsidR="00256B96">
        <w:t xml:space="preserve"> The current threshold is too low. We would also </w:t>
      </w:r>
      <w:r w:rsidR="00256B96">
        <w:lastRenderedPageBreak/>
        <w:t>recommend o</w:t>
      </w:r>
      <w:r w:rsidR="00256B96" w:rsidRPr="002E2345">
        <w:t xml:space="preserve">ffering </w:t>
      </w:r>
      <w:r w:rsidR="00256B96" w:rsidRPr="002E2345">
        <w:rPr>
          <w:b/>
        </w:rPr>
        <w:t>grants or subsidies</w:t>
      </w:r>
      <w:r w:rsidR="00256B96" w:rsidRPr="002E2345">
        <w:t xml:space="preserve"> to small and mid-sized producers </w:t>
      </w:r>
      <w:r w:rsidR="00B27181">
        <w:t xml:space="preserve">above the threshold </w:t>
      </w:r>
      <w:r w:rsidR="00256B96" w:rsidRPr="002E2345">
        <w:t>to accelerate compliance</w:t>
      </w:r>
      <w:r w:rsidR="00256B96">
        <w:t>.</w:t>
      </w:r>
    </w:p>
    <w:p w14:paraId="0B92AD24" w14:textId="77777777" w:rsidR="002E2345" w:rsidRPr="002E2345" w:rsidRDefault="004E40CC" w:rsidP="002E2345">
      <w:r>
        <w:rPr>
          <w:noProof/>
        </w:rPr>
        <w:pict w14:anchorId="14CEBC87">
          <v:rect id="_x0000_i1027" alt="" style="width:359.9pt;height:.05pt;mso-width-percent:0;mso-height-percent:0;mso-width-percent:0;mso-height-percent:0" o:hrpct="769" o:hralign="center" o:hrstd="t" o:hr="t" fillcolor="#a0a0a0" stroked="f"/>
        </w:pict>
      </w:r>
    </w:p>
    <w:p w14:paraId="1508F095" w14:textId="77777777" w:rsidR="002E2345" w:rsidRPr="002E2345" w:rsidRDefault="002E2345" w:rsidP="002E2345">
      <w:pPr>
        <w:rPr>
          <w:b/>
        </w:rPr>
      </w:pPr>
      <w:r w:rsidRPr="002E2345">
        <w:rPr>
          <w:b/>
        </w:rPr>
        <w:t>8. Accelerate Permitting for Low-Carbon Infrastructure</w:t>
      </w:r>
    </w:p>
    <w:p w14:paraId="130247F1" w14:textId="77777777" w:rsidR="002E2345" w:rsidRPr="002E2345" w:rsidRDefault="002E2345" w:rsidP="002E2345">
      <w:r w:rsidRPr="002E2345">
        <w:t xml:space="preserve">Finally, we urge CARB to work with regional air districts to </w:t>
      </w:r>
      <w:r w:rsidRPr="002E2345">
        <w:rPr>
          <w:b/>
        </w:rPr>
        <w:t>expedite permits for SCM silos and related infrastructure</w:t>
      </w:r>
      <w:r w:rsidRPr="002E2345">
        <w:t>. Producers cannot be expected to deliver cleaner concrete without timely access to the materials that make it possible. Current permitting delays—often 2–3 years—are a major barrier to compliance and innovation.</w:t>
      </w:r>
    </w:p>
    <w:p w14:paraId="598EAAC9" w14:textId="77777777" w:rsidR="002E2345" w:rsidRPr="002E2345" w:rsidRDefault="004E40CC" w:rsidP="002E2345">
      <w:r>
        <w:rPr>
          <w:noProof/>
        </w:rPr>
        <w:pict w14:anchorId="2A81821C">
          <v:rect id="_x0000_i1026" alt="" style="width:359.9pt;height:.05pt;mso-width-percent:0;mso-height-percent:0;mso-width-percent:0;mso-height-percent:0" o:hrpct="769" o:hralign="center" o:hrstd="t" o:hr="t" fillcolor="#a0a0a0" stroked="f"/>
        </w:pict>
      </w:r>
    </w:p>
    <w:p w14:paraId="513AD0BD" w14:textId="7B9D3430" w:rsidR="002E2345" w:rsidRPr="002E2345" w:rsidRDefault="002E2345" w:rsidP="002E2345">
      <w:r w:rsidRPr="002E2345">
        <w:t xml:space="preserve">We appreciate the opportunity to contribute to this historic effort. With thoughtful implementation, AB 2446 </w:t>
      </w:r>
      <w:r w:rsidR="00B27181">
        <w:t xml:space="preserve">&amp; AB 43 </w:t>
      </w:r>
      <w:r w:rsidRPr="002E2345">
        <w:t>can drive deep decarbonization, reward leadership, and elevate California as a beacon of climate-smart construction.</w:t>
      </w:r>
    </w:p>
    <w:p w14:paraId="5866B5D4" w14:textId="66412A8E" w:rsidR="002E2345" w:rsidRPr="002E2345" w:rsidRDefault="002E2345" w:rsidP="002E2345">
      <w:r w:rsidRPr="002E2345">
        <w:t xml:space="preserve">We stand ready to support CARB </w:t>
      </w:r>
      <w:r w:rsidR="00B27181">
        <w:t>and our industry in navigating the coming changes.</w:t>
      </w:r>
    </w:p>
    <w:p w14:paraId="775A77AE" w14:textId="477BF0C2" w:rsidR="002E2345" w:rsidRPr="002E2345" w:rsidRDefault="002E2345" w:rsidP="002E2345">
      <w:r w:rsidRPr="002E2345">
        <w:t>Sincerely,</w:t>
      </w:r>
      <w:r w:rsidRPr="002E2345">
        <w:br/>
      </w:r>
      <w:r w:rsidR="00B27181">
        <w:t>Karl Laughton</w:t>
      </w:r>
      <w:r w:rsidRPr="002E2345">
        <w:br/>
      </w:r>
      <w:r w:rsidR="00B27181">
        <w:t>CEO</w:t>
      </w:r>
      <w:r w:rsidRPr="002E2345">
        <w:br/>
      </w:r>
      <w:r w:rsidR="00B27181">
        <w:t>Climate Earth</w:t>
      </w:r>
      <w:r w:rsidRPr="002E2345">
        <w:br/>
      </w:r>
      <w:r w:rsidR="00B27181">
        <w:t>Karl@ClimateEarth.com</w:t>
      </w:r>
    </w:p>
    <w:p w14:paraId="64AE3D1A" w14:textId="77777777" w:rsidR="002E2345" w:rsidRPr="002E2345" w:rsidRDefault="004E40CC" w:rsidP="002E2345">
      <w:r>
        <w:rPr>
          <w:noProof/>
        </w:rPr>
        <w:pict w14:anchorId="10148B16">
          <v:rect id="_x0000_i1025" alt="" style="width:359.9pt;height:.05pt;mso-width-percent:0;mso-height-percent:0;mso-width-percent:0;mso-height-percent:0" o:hrpct="769" o:hralign="center" o:hrstd="t" o:hr="t" fillcolor="#a0a0a0" stroked="f"/>
        </w:pict>
      </w:r>
    </w:p>
    <w:p w14:paraId="2494F4CF" w14:textId="77777777" w:rsidR="0051770A" w:rsidRDefault="0051770A"/>
    <w:sectPr w:rsidR="005177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Times New Roman Bold">
    <w:altName w:val="Times New Roman"/>
    <w:panose1 w:val="020B0604020202020204"/>
    <w:charset w:val="00"/>
    <w:family w:val="auto"/>
    <w:pitch w:val="variable"/>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11EBD"/>
    <w:multiLevelType w:val="hybridMultilevel"/>
    <w:tmpl w:val="D2826098"/>
    <w:lvl w:ilvl="0" w:tplc="04090001">
      <w:start w:val="1"/>
      <w:numFmt w:val="bullet"/>
      <w:lvlText w:val=""/>
      <w:lvlJc w:val="left"/>
      <w:pPr>
        <w:ind w:left="1872" w:hanging="360"/>
      </w:pPr>
      <w:rPr>
        <w:rFonts w:ascii="Symbol" w:hAnsi="Symbol" w:hint="default"/>
      </w:rPr>
    </w:lvl>
    <w:lvl w:ilvl="1" w:tplc="04090003" w:tentative="1">
      <w:start w:val="1"/>
      <w:numFmt w:val="bullet"/>
      <w:lvlText w:val="o"/>
      <w:lvlJc w:val="left"/>
      <w:pPr>
        <w:ind w:left="2592" w:hanging="360"/>
      </w:pPr>
      <w:rPr>
        <w:rFonts w:ascii="Courier New" w:hAnsi="Courier New" w:hint="default"/>
      </w:rPr>
    </w:lvl>
    <w:lvl w:ilvl="2" w:tplc="04090005" w:tentative="1">
      <w:start w:val="1"/>
      <w:numFmt w:val="bullet"/>
      <w:lvlText w:val=""/>
      <w:lvlJc w:val="left"/>
      <w:pPr>
        <w:ind w:left="3312" w:hanging="360"/>
      </w:pPr>
      <w:rPr>
        <w:rFonts w:ascii="Wingdings" w:hAnsi="Wingdings" w:hint="default"/>
      </w:rPr>
    </w:lvl>
    <w:lvl w:ilvl="3" w:tplc="04090001" w:tentative="1">
      <w:start w:val="1"/>
      <w:numFmt w:val="bullet"/>
      <w:lvlText w:val=""/>
      <w:lvlJc w:val="left"/>
      <w:pPr>
        <w:ind w:left="4032" w:hanging="360"/>
      </w:pPr>
      <w:rPr>
        <w:rFonts w:ascii="Symbol" w:hAnsi="Symbol" w:hint="default"/>
      </w:rPr>
    </w:lvl>
    <w:lvl w:ilvl="4" w:tplc="04090003" w:tentative="1">
      <w:start w:val="1"/>
      <w:numFmt w:val="bullet"/>
      <w:lvlText w:val="o"/>
      <w:lvlJc w:val="left"/>
      <w:pPr>
        <w:ind w:left="4752" w:hanging="360"/>
      </w:pPr>
      <w:rPr>
        <w:rFonts w:ascii="Courier New" w:hAnsi="Courier New" w:hint="default"/>
      </w:rPr>
    </w:lvl>
    <w:lvl w:ilvl="5" w:tplc="04090005" w:tentative="1">
      <w:start w:val="1"/>
      <w:numFmt w:val="bullet"/>
      <w:lvlText w:val=""/>
      <w:lvlJc w:val="left"/>
      <w:pPr>
        <w:ind w:left="5472" w:hanging="360"/>
      </w:pPr>
      <w:rPr>
        <w:rFonts w:ascii="Wingdings" w:hAnsi="Wingdings" w:hint="default"/>
      </w:rPr>
    </w:lvl>
    <w:lvl w:ilvl="6" w:tplc="04090001" w:tentative="1">
      <w:start w:val="1"/>
      <w:numFmt w:val="bullet"/>
      <w:lvlText w:val=""/>
      <w:lvlJc w:val="left"/>
      <w:pPr>
        <w:ind w:left="6192" w:hanging="360"/>
      </w:pPr>
      <w:rPr>
        <w:rFonts w:ascii="Symbol" w:hAnsi="Symbol" w:hint="default"/>
      </w:rPr>
    </w:lvl>
    <w:lvl w:ilvl="7" w:tplc="04090003" w:tentative="1">
      <w:start w:val="1"/>
      <w:numFmt w:val="bullet"/>
      <w:lvlText w:val="o"/>
      <w:lvlJc w:val="left"/>
      <w:pPr>
        <w:ind w:left="6912" w:hanging="360"/>
      </w:pPr>
      <w:rPr>
        <w:rFonts w:ascii="Courier New" w:hAnsi="Courier New" w:hint="default"/>
      </w:rPr>
    </w:lvl>
    <w:lvl w:ilvl="8" w:tplc="04090005" w:tentative="1">
      <w:start w:val="1"/>
      <w:numFmt w:val="bullet"/>
      <w:lvlText w:val=""/>
      <w:lvlJc w:val="left"/>
      <w:pPr>
        <w:ind w:left="7632" w:hanging="360"/>
      </w:pPr>
      <w:rPr>
        <w:rFonts w:ascii="Wingdings" w:hAnsi="Wingdings" w:hint="default"/>
      </w:rPr>
    </w:lvl>
  </w:abstractNum>
  <w:abstractNum w:abstractNumId="1" w15:restartNumberingAfterBreak="0">
    <w:nsid w:val="075A49C1"/>
    <w:multiLevelType w:val="multilevel"/>
    <w:tmpl w:val="881AD4CC"/>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 w15:restartNumberingAfterBreak="0">
    <w:nsid w:val="2EA23E15"/>
    <w:multiLevelType w:val="multilevel"/>
    <w:tmpl w:val="E4CAE0B0"/>
    <w:lvl w:ilvl="0">
      <w:start w:val="1"/>
      <w:numFmt w:val="decimal"/>
      <w:pStyle w:val="Bulletlis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42D775BD"/>
    <w:multiLevelType w:val="multilevel"/>
    <w:tmpl w:val="2FFC342C"/>
    <w:lvl w:ilvl="0">
      <w:start w:val="1"/>
      <w:numFmt w:val="bullet"/>
      <w:lvlText w:val=""/>
      <w:lvlJc w:val="left"/>
      <w:pPr>
        <w:tabs>
          <w:tab w:val="num" w:pos="1512"/>
        </w:tabs>
        <w:ind w:left="1512" w:hanging="360"/>
      </w:pPr>
      <w:rPr>
        <w:rFonts w:ascii="Symbol" w:hAnsi="Symbol" w:hint="default"/>
        <w:sz w:val="20"/>
      </w:rPr>
    </w:lvl>
    <w:lvl w:ilvl="1">
      <w:start w:val="1"/>
      <w:numFmt w:val="bullet"/>
      <w:lvlText w:val="o"/>
      <w:lvlJc w:val="left"/>
      <w:pPr>
        <w:tabs>
          <w:tab w:val="num" w:pos="2232"/>
        </w:tabs>
        <w:ind w:left="2232" w:hanging="360"/>
      </w:pPr>
      <w:rPr>
        <w:rFonts w:ascii="Courier New" w:hAnsi="Courier New" w:hint="default"/>
        <w:sz w:val="20"/>
      </w:rPr>
    </w:lvl>
    <w:lvl w:ilvl="2" w:tentative="1">
      <w:start w:val="1"/>
      <w:numFmt w:val="bullet"/>
      <w:lvlText w:val=""/>
      <w:lvlJc w:val="left"/>
      <w:pPr>
        <w:tabs>
          <w:tab w:val="num" w:pos="2952"/>
        </w:tabs>
        <w:ind w:left="2952" w:hanging="360"/>
      </w:pPr>
      <w:rPr>
        <w:rFonts w:ascii="Wingdings" w:hAnsi="Wingdings" w:hint="default"/>
        <w:sz w:val="20"/>
      </w:rPr>
    </w:lvl>
    <w:lvl w:ilvl="3" w:tentative="1">
      <w:start w:val="1"/>
      <w:numFmt w:val="bullet"/>
      <w:lvlText w:val=""/>
      <w:lvlJc w:val="left"/>
      <w:pPr>
        <w:tabs>
          <w:tab w:val="num" w:pos="3672"/>
        </w:tabs>
        <w:ind w:left="3672" w:hanging="360"/>
      </w:pPr>
      <w:rPr>
        <w:rFonts w:ascii="Wingdings" w:hAnsi="Wingdings" w:hint="default"/>
        <w:sz w:val="20"/>
      </w:rPr>
    </w:lvl>
    <w:lvl w:ilvl="4" w:tentative="1">
      <w:start w:val="1"/>
      <w:numFmt w:val="bullet"/>
      <w:lvlText w:val=""/>
      <w:lvlJc w:val="left"/>
      <w:pPr>
        <w:tabs>
          <w:tab w:val="num" w:pos="4392"/>
        </w:tabs>
        <w:ind w:left="4392" w:hanging="360"/>
      </w:pPr>
      <w:rPr>
        <w:rFonts w:ascii="Wingdings" w:hAnsi="Wingdings" w:hint="default"/>
        <w:sz w:val="20"/>
      </w:rPr>
    </w:lvl>
    <w:lvl w:ilvl="5" w:tentative="1">
      <w:start w:val="1"/>
      <w:numFmt w:val="bullet"/>
      <w:lvlText w:val=""/>
      <w:lvlJc w:val="left"/>
      <w:pPr>
        <w:tabs>
          <w:tab w:val="num" w:pos="5112"/>
        </w:tabs>
        <w:ind w:left="5112" w:hanging="360"/>
      </w:pPr>
      <w:rPr>
        <w:rFonts w:ascii="Wingdings" w:hAnsi="Wingdings" w:hint="default"/>
        <w:sz w:val="20"/>
      </w:rPr>
    </w:lvl>
    <w:lvl w:ilvl="6" w:tentative="1">
      <w:start w:val="1"/>
      <w:numFmt w:val="bullet"/>
      <w:lvlText w:val=""/>
      <w:lvlJc w:val="left"/>
      <w:pPr>
        <w:tabs>
          <w:tab w:val="num" w:pos="5832"/>
        </w:tabs>
        <w:ind w:left="5832" w:hanging="360"/>
      </w:pPr>
      <w:rPr>
        <w:rFonts w:ascii="Wingdings" w:hAnsi="Wingdings" w:hint="default"/>
        <w:sz w:val="20"/>
      </w:rPr>
    </w:lvl>
    <w:lvl w:ilvl="7" w:tentative="1">
      <w:start w:val="1"/>
      <w:numFmt w:val="bullet"/>
      <w:lvlText w:val=""/>
      <w:lvlJc w:val="left"/>
      <w:pPr>
        <w:tabs>
          <w:tab w:val="num" w:pos="6552"/>
        </w:tabs>
        <w:ind w:left="6552" w:hanging="360"/>
      </w:pPr>
      <w:rPr>
        <w:rFonts w:ascii="Wingdings" w:hAnsi="Wingdings" w:hint="default"/>
        <w:sz w:val="20"/>
      </w:rPr>
    </w:lvl>
    <w:lvl w:ilvl="8" w:tentative="1">
      <w:start w:val="1"/>
      <w:numFmt w:val="bullet"/>
      <w:lvlText w:val=""/>
      <w:lvlJc w:val="left"/>
      <w:pPr>
        <w:tabs>
          <w:tab w:val="num" w:pos="7272"/>
        </w:tabs>
        <w:ind w:left="7272" w:hanging="360"/>
      </w:pPr>
      <w:rPr>
        <w:rFonts w:ascii="Wingdings" w:hAnsi="Wingdings" w:hint="default"/>
        <w:sz w:val="20"/>
      </w:rPr>
    </w:lvl>
  </w:abstractNum>
  <w:abstractNum w:abstractNumId="4" w15:restartNumberingAfterBreak="0">
    <w:nsid w:val="513641A7"/>
    <w:multiLevelType w:val="multilevel"/>
    <w:tmpl w:val="ADE81F32"/>
    <w:lvl w:ilvl="0">
      <w:start w:val="1"/>
      <w:numFmt w:val="bullet"/>
      <w:lvlText w:val=""/>
      <w:lvlJc w:val="left"/>
      <w:pPr>
        <w:tabs>
          <w:tab w:val="num" w:pos="1512"/>
        </w:tabs>
        <w:ind w:left="1512" w:hanging="360"/>
      </w:pPr>
      <w:rPr>
        <w:rFonts w:ascii="Symbol" w:hAnsi="Symbol" w:hint="default"/>
        <w:sz w:val="20"/>
      </w:rPr>
    </w:lvl>
    <w:lvl w:ilvl="1" w:tentative="1">
      <w:start w:val="1"/>
      <w:numFmt w:val="bullet"/>
      <w:lvlText w:val="o"/>
      <w:lvlJc w:val="left"/>
      <w:pPr>
        <w:tabs>
          <w:tab w:val="num" w:pos="2232"/>
        </w:tabs>
        <w:ind w:left="2232" w:hanging="360"/>
      </w:pPr>
      <w:rPr>
        <w:rFonts w:ascii="Courier New" w:hAnsi="Courier New" w:hint="default"/>
        <w:sz w:val="20"/>
      </w:rPr>
    </w:lvl>
    <w:lvl w:ilvl="2" w:tentative="1">
      <w:start w:val="1"/>
      <w:numFmt w:val="bullet"/>
      <w:lvlText w:val=""/>
      <w:lvlJc w:val="left"/>
      <w:pPr>
        <w:tabs>
          <w:tab w:val="num" w:pos="2952"/>
        </w:tabs>
        <w:ind w:left="2952" w:hanging="360"/>
      </w:pPr>
      <w:rPr>
        <w:rFonts w:ascii="Wingdings" w:hAnsi="Wingdings" w:hint="default"/>
        <w:sz w:val="20"/>
      </w:rPr>
    </w:lvl>
    <w:lvl w:ilvl="3" w:tentative="1">
      <w:start w:val="1"/>
      <w:numFmt w:val="bullet"/>
      <w:lvlText w:val=""/>
      <w:lvlJc w:val="left"/>
      <w:pPr>
        <w:tabs>
          <w:tab w:val="num" w:pos="3672"/>
        </w:tabs>
        <w:ind w:left="3672" w:hanging="360"/>
      </w:pPr>
      <w:rPr>
        <w:rFonts w:ascii="Wingdings" w:hAnsi="Wingdings" w:hint="default"/>
        <w:sz w:val="20"/>
      </w:rPr>
    </w:lvl>
    <w:lvl w:ilvl="4" w:tentative="1">
      <w:start w:val="1"/>
      <w:numFmt w:val="bullet"/>
      <w:lvlText w:val=""/>
      <w:lvlJc w:val="left"/>
      <w:pPr>
        <w:tabs>
          <w:tab w:val="num" w:pos="4392"/>
        </w:tabs>
        <w:ind w:left="4392" w:hanging="360"/>
      </w:pPr>
      <w:rPr>
        <w:rFonts w:ascii="Wingdings" w:hAnsi="Wingdings" w:hint="default"/>
        <w:sz w:val="20"/>
      </w:rPr>
    </w:lvl>
    <w:lvl w:ilvl="5" w:tentative="1">
      <w:start w:val="1"/>
      <w:numFmt w:val="bullet"/>
      <w:lvlText w:val=""/>
      <w:lvlJc w:val="left"/>
      <w:pPr>
        <w:tabs>
          <w:tab w:val="num" w:pos="5112"/>
        </w:tabs>
        <w:ind w:left="5112" w:hanging="360"/>
      </w:pPr>
      <w:rPr>
        <w:rFonts w:ascii="Wingdings" w:hAnsi="Wingdings" w:hint="default"/>
        <w:sz w:val="20"/>
      </w:rPr>
    </w:lvl>
    <w:lvl w:ilvl="6" w:tentative="1">
      <w:start w:val="1"/>
      <w:numFmt w:val="bullet"/>
      <w:lvlText w:val=""/>
      <w:lvlJc w:val="left"/>
      <w:pPr>
        <w:tabs>
          <w:tab w:val="num" w:pos="5832"/>
        </w:tabs>
        <w:ind w:left="5832" w:hanging="360"/>
      </w:pPr>
      <w:rPr>
        <w:rFonts w:ascii="Wingdings" w:hAnsi="Wingdings" w:hint="default"/>
        <w:sz w:val="20"/>
      </w:rPr>
    </w:lvl>
    <w:lvl w:ilvl="7" w:tentative="1">
      <w:start w:val="1"/>
      <w:numFmt w:val="bullet"/>
      <w:lvlText w:val=""/>
      <w:lvlJc w:val="left"/>
      <w:pPr>
        <w:tabs>
          <w:tab w:val="num" w:pos="6552"/>
        </w:tabs>
        <w:ind w:left="6552" w:hanging="360"/>
      </w:pPr>
      <w:rPr>
        <w:rFonts w:ascii="Wingdings" w:hAnsi="Wingdings" w:hint="default"/>
        <w:sz w:val="20"/>
      </w:rPr>
    </w:lvl>
    <w:lvl w:ilvl="8" w:tentative="1">
      <w:start w:val="1"/>
      <w:numFmt w:val="bullet"/>
      <w:lvlText w:val=""/>
      <w:lvlJc w:val="left"/>
      <w:pPr>
        <w:tabs>
          <w:tab w:val="num" w:pos="7272"/>
        </w:tabs>
        <w:ind w:left="7272" w:hanging="360"/>
      </w:pPr>
      <w:rPr>
        <w:rFonts w:ascii="Wingdings" w:hAnsi="Wingdings" w:hint="default"/>
        <w:sz w:val="20"/>
      </w:rPr>
    </w:lvl>
  </w:abstractNum>
  <w:abstractNum w:abstractNumId="5" w15:restartNumberingAfterBreak="0">
    <w:nsid w:val="562D4C55"/>
    <w:multiLevelType w:val="multilevel"/>
    <w:tmpl w:val="3676BD0C"/>
    <w:lvl w:ilvl="0">
      <w:start w:val="1"/>
      <w:numFmt w:val="bullet"/>
      <w:lvlText w:val=""/>
      <w:lvlJc w:val="left"/>
      <w:pPr>
        <w:tabs>
          <w:tab w:val="num" w:pos="1512"/>
        </w:tabs>
        <w:ind w:left="1512" w:hanging="360"/>
      </w:pPr>
      <w:rPr>
        <w:rFonts w:ascii="Symbol" w:hAnsi="Symbol" w:hint="default"/>
        <w:sz w:val="20"/>
      </w:rPr>
    </w:lvl>
    <w:lvl w:ilvl="1" w:tentative="1">
      <w:start w:val="1"/>
      <w:numFmt w:val="bullet"/>
      <w:lvlText w:val="o"/>
      <w:lvlJc w:val="left"/>
      <w:pPr>
        <w:tabs>
          <w:tab w:val="num" w:pos="2232"/>
        </w:tabs>
        <w:ind w:left="2232" w:hanging="360"/>
      </w:pPr>
      <w:rPr>
        <w:rFonts w:ascii="Courier New" w:hAnsi="Courier New" w:hint="default"/>
        <w:sz w:val="20"/>
      </w:rPr>
    </w:lvl>
    <w:lvl w:ilvl="2" w:tentative="1">
      <w:start w:val="1"/>
      <w:numFmt w:val="bullet"/>
      <w:lvlText w:val=""/>
      <w:lvlJc w:val="left"/>
      <w:pPr>
        <w:tabs>
          <w:tab w:val="num" w:pos="2952"/>
        </w:tabs>
        <w:ind w:left="2952" w:hanging="360"/>
      </w:pPr>
      <w:rPr>
        <w:rFonts w:ascii="Wingdings" w:hAnsi="Wingdings" w:hint="default"/>
        <w:sz w:val="20"/>
      </w:rPr>
    </w:lvl>
    <w:lvl w:ilvl="3" w:tentative="1">
      <w:start w:val="1"/>
      <w:numFmt w:val="bullet"/>
      <w:lvlText w:val=""/>
      <w:lvlJc w:val="left"/>
      <w:pPr>
        <w:tabs>
          <w:tab w:val="num" w:pos="3672"/>
        </w:tabs>
        <w:ind w:left="3672" w:hanging="360"/>
      </w:pPr>
      <w:rPr>
        <w:rFonts w:ascii="Wingdings" w:hAnsi="Wingdings" w:hint="default"/>
        <w:sz w:val="20"/>
      </w:rPr>
    </w:lvl>
    <w:lvl w:ilvl="4" w:tentative="1">
      <w:start w:val="1"/>
      <w:numFmt w:val="bullet"/>
      <w:lvlText w:val=""/>
      <w:lvlJc w:val="left"/>
      <w:pPr>
        <w:tabs>
          <w:tab w:val="num" w:pos="4392"/>
        </w:tabs>
        <w:ind w:left="4392" w:hanging="360"/>
      </w:pPr>
      <w:rPr>
        <w:rFonts w:ascii="Wingdings" w:hAnsi="Wingdings" w:hint="default"/>
        <w:sz w:val="20"/>
      </w:rPr>
    </w:lvl>
    <w:lvl w:ilvl="5" w:tentative="1">
      <w:start w:val="1"/>
      <w:numFmt w:val="bullet"/>
      <w:lvlText w:val=""/>
      <w:lvlJc w:val="left"/>
      <w:pPr>
        <w:tabs>
          <w:tab w:val="num" w:pos="5112"/>
        </w:tabs>
        <w:ind w:left="5112" w:hanging="360"/>
      </w:pPr>
      <w:rPr>
        <w:rFonts w:ascii="Wingdings" w:hAnsi="Wingdings" w:hint="default"/>
        <w:sz w:val="20"/>
      </w:rPr>
    </w:lvl>
    <w:lvl w:ilvl="6" w:tentative="1">
      <w:start w:val="1"/>
      <w:numFmt w:val="bullet"/>
      <w:lvlText w:val=""/>
      <w:lvlJc w:val="left"/>
      <w:pPr>
        <w:tabs>
          <w:tab w:val="num" w:pos="5832"/>
        </w:tabs>
        <w:ind w:left="5832" w:hanging="360"/>
      </w:pPr>
      <w:rPr>
        <w:rFonts w:ascii="Wingdings" w:hAnsi="Wingdings" w:hint="default"/>
        <w:sz w:val="20"/>
      </w:rPr>
    </w:lvl>
    <w:lvl w:ilvl="7" w:tentative="1">
      <w:start w:val="1"/>
      <w:numFmt w:val="bullet"/>
      <w:lvlText w:val=""/>
      <w:lvlJc w:val="left"/>
      <w:pPr>
        <w:tabs>
          <w:tab w:val="num" w:pos="6552"/>
        </w:tabs>
        <w:ind w:left="6552" w:hanging="360"/>
      </w:pPr>
      <w:rPr>
        <w:rFonts w:ascii="Wingdings" w:hAnsi="Wingdings" w:hint="default"/>
        <w:sz w:val="20"/>
      </w:rPr>
    </w:lvl>
    <w:lvl w:ilvl="8" w:tentative="1">
      <w:start w:val="1"/>
      <w:numFmt w:val="bullet"/>
      <w:lvlText w:val=""/>
      <w:lvlJc w:val="left"/>
      <w:pPr>
        <w:tabs>
          <w:tab w:val="num" w:pos="7272"/>
        </w:tabs>
        <w:ind w:left="7272" w:hanging="360"/>
      </w:pPr>
      <w:rPr>
        <w:rFonts w:ascii="Wingdings" w:hAnsi="Wingdings" w:hint="default"/>
        <w:sz w:val="20"/>
      </w:rPr>
    </w:lvl>
  </w:abstractNum>
  <w:abstractNum w:abstractNumId="6" w15:restartNumberingAfterBreak="0">
    <w:nsid w:val="67B37B74"/>
    <w:multiLevelType w:val="hybridMultilevel"/>
    <w:tmpl w:val="3B8E3BCA"/>
    <w:lvl w:ilvl="0" w:tplc="2B001514">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A760A16"/>
    <w:multiLevelType w:val="multilevel"/>
    <w:tmpl w:val="2DA4418E"/>
    <w:lvl w:ilvl="0">
      <w:start w:val="1"/>
      <w:numFmt w:val="bullet"/>
      <w:lvlText w:val=""/>
      <w:lvlJc w:val="left"/>
      <w:pPr>
        <w:tabs>
          <w:tab w:val="num" w:pos="2160"/>
        </w:tabs>
        <w:ind w:left="2160" w:hanging="360"/>
      </w:pPr>
      <w:rPr>
        <w:rFonts w:ascii="Symbol" w:hAnsi="Symbol" w:hint="default"/>
        <w:sz w:val="20"/>
      </w:rPr>
    </w:lvl>
    <w:lvl w:ilvl="1" w:tentative="1">
      <w:start w:val="1"/>
      <w:numFmt w:val="bullet"/>
      <w:lvlText w:val="o"/>
      <w:lvlJc w:val="left"/>
      <w:pPr>
        <w:tabs>
          <w:tab w:val="num" w:pos="2880"/>
        </w:tabs>
        <w:ind w:left="2880" w:hanging="360"/>
      </w:pPr>
      <w:rPr>
        <w:rFonts w:ascii="Courier New" w:hAnsi="Courier New" w:hint="default"/>
        <w:sz w:val="20"/>
      </w:rPr>
    </w:lvl>
    <w:lvl w:ilvl="2" w:tentative="1">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8" w15:restartNumberingAfterBreak="0">
    <w:nsid w:val="7D5165FD"/>
    <w:multiLevelType w:val="multilevel"/>
    <w:tmpl w:val="C68219E2"/>
    <w:lvl w:ilvl="0">
      <w:start w:val="1"/>
      <w:numFmt w:val="bullet"/>
      <w:lvlText w:val=""/>
      <w:lvlJc w:val="left"/>
      <w:pPr>
        <w:tabs>
          <w:tab w:val="num" w:pos="1512"/>
        </w:tabs>
        <w:ind w:left="1512" w:hanging="360"/>
      </w:pPr>
      <w:rPr>
        <w:rFonts w:ascii="Symbol" w:hAnsi="Symbol" w:hint="default"/>
        <w:sz w:val="20"/>
      </w:rPr>
    </w:lvl>
    <w:lvl w:ilvl="1" w:tentative="1">
      <w:start w:val="1"/>
      <w:numFmt w:val="bullet"/>
      <w:lvlText w:val="o"/>
      <w:lvlJc w:val="left"/>
      <w:pPr>
        <w:tabs>
          <w:tab w:val="num" w:pos="2232"/>
        </w:tabs>
        <w:ind w:left="2232" w:hanging="360"/>
      </w:pPr>
      <w:rPr>
        <w:rFonts w:ascii="Courier New" w:hAnsi="Courier New" w:hint="default"/>
        <w:sz w:val="20"/>
      </w:rPr>
    </w:lvl>
    <w:lvl w:ilvl="2" w:tentative="1">
      <w:start w:val="1"/>
      <w:numFmt w:val="bullet"/>
      <w:lvlText w:val=""/>
      <w:lvlJc w:val="left"/>
      <w:pPr>
        <w:tabs>
          <w:tab w:val="num" w:pos="2952"/>
        </w:tabs>
        <w:ind w:left="2952" w:hanging="360"/>
      </w:pPr>
      <w:rPr>
        <w:rFonts w:ascii="Wingdings" w:hAnsi="Wingdings" w:hint="default"/>
        <w:sz w:val="20"/>
      </w:rPr>
    </w:lvl>
    <w:lvl w:ilvl="3" w:tentative="1">
      <w:start w:val="1"/>
      <w:numFmt w:val="bullet"/>
      <w:lvlText w:val=""/>
      <w:lvlJc w:val="left"/>
      <w:pPr>
        <w:tabs>
          <w:tab w:val="num" w:pos="3672"/>
        </w:tabs>
        <w:ind w:left="3672" w:hanging="360"/>
      </w:pPr>
      <w:rPr>
        <w:rFonts w:ascii="Wingdings" w:hAnsi="Wingdings" w:hint="default"/>
        <w:sz w:val="20"/>
      </w:rPr>
    </w:lvl>
    <w:lvl w:ilvl="4" w:tentative="1">
      <w:start w:val="1"/>
      <w:numFmt w:val="bullet"/>
      <w:lvlText w:val=""/>
      <w:lvlJc w:val="left"/>
      <w:pPr>
        <w:tabs>
          <w:tab w:val="num" w:pos="4392"/>
        </w:tabs>
        <w:ind w:left="4392" w:hanging="360"/>
      </w:pPr>
      <w:rPr>
        <w:rFonts w:ascii="Wingdings" w:hAnsi="Wingdings" w:hint="default"/>
        <w:sz w:val="20"/>
      </w:rPr>
    </w:lvl>
    <w:lvl w:ilvl="5" w:tentative="1">
      <w:start w:val="1"/>
      <w:numFmt w:val="bullet"/>
      <w:lvlText w:val=""/>
      <w:lvlJc w:val="left"/>
      <w:pPr>
        <w:tabs>
          <w:tab w:val="num" w:pos="5112"/>
        </w:tabs>
        <w:ind w:left="5112" w:hanging="360"/>
      </w:pPr>
      <w:rPr>
        <w:rFonts w:ascii="Wingdings" w:hAnsi="Wingdings" w:hint="default"/>
        <w:sz w:val="20"/>
      </w:rPr>
    </w:lvl>
    <w:lvl w:ilvl="6" w:tentative="1">
      <w:start w:val="1"/>
      <w:numFmt w:val="bullet"/>
      <w:lvlText w:val=""/>
      <w:lvlJc w:val="left"/>
      <w:pPr>
        <w:tabs>
          <w:tab w:val="num" w:pos="5832"/>
        </w:tabs>
        <w:ind w:left="5832" w:hanging="360"/>
      </w:pPr>
      <w:rPr>
        <w:rFonts w:ascii="Wingdings" w:hAnsi="Wingdings" w:hint="default"/>
        <w:sz w:val="20"/>
      </w:rPr>
    </w:lvl>
    <w:lvl w:ilvl="7" w:tentative="1">
      <w:start w:val="1"/>
      <w:numFmt w:val="bullet"/>
      <w:lvlText w:val=""/>
      <w:lvlJc w:val="left"/>
      <w:pPr>
        <w:tabs>
          <w:tab w:val="num" w:pos="6552"/>
        </w:tabs>
        <w:ind w:left="6552" w:hanging="360"/>
      </w:pPr>
      <w:rPr>
        <w:rFonts w:ascii="Wingdings" w:hAnsi="Wingdings" w:hint="default"/>
        <w:sz w:val="20"/>
      </w:rPr>
    </w:lvl>
    <w:lvl w:ilvl="8" w:tentative="1">
      <w:start w:val="1"/>
      <w:numFmt w:val="bullet"/>
      <w:lvlText w:val=""/>
      <w:lvlJc w:val="left"/>
      <w:pPr>
        <w:tabs>
          <w:tab w:val="num" w:pos="7272"/>
        </w:tabs>
        <w:ind w:left="7272" w:hanging="360"/>
      </w:pPr>
      <w:rPr>
        <w:rFonts w:ascii="Wingdings" w:hAnsi="Wingdings" w:hint="default"/>
        <w:sz w:val="20"/>
      </w:rPr>
    </w:lvl>
  </w:abstractNum>
  <w:num w:numId="1" w16cid:durableId="1241476574">
    <w:abstractNumId w:val="6"/>
  </w:num>
  <w:num w:numId="2" w16cid:durableId="548953824">
    <w:abstractNumId w:val="2"/>
  </w:num>
  <w:num w:numId="3" w16cid:durableId="301546485">
    <w:abstractNumId w:val="4"/>
  </w:num>
  <w:num w:numId="4" w16cid:durableId="2125224752">
    <w:abstractNumId w:val="5"/>
  </w:num>
  <w:num w:numId="5" w16cid:durableId="950669404">
    <w:abstractNumId w:val="8"/>
  </w:num>
  <w:num w:numId="6" w16cid:durableId="1915700901">
    <w:abstractNumId w:val="3"/>
  </w:num>
  <w:num w:numId="7" w16cid:durableId="920678460">
    <w:abstractNumId w:val="7"/>
  </w:num>
  <w:num w:numId="8" w16cid:durableId="431166455">
    <w:abstractNumId w:val="1"/>
  </w:num>
  <w:num w:numId="9" w16cid:durableId="14722143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345"/>
    <w:rsid w:val="000211CD"/>
    <w:rsid w:val="00035E37"/>
    <w:rsid w:val="0017789A"/>
    <w:rsid w:val="00256B96"/>
    <w:rsid w:val="002E2345"/>
    <w:rsid w:val="00335E08"/>
    <w:rsid w:val="003714A6"/>
    <w:rsid w:val="00402472"/>
    <w:rsid w:val="004413F9"/>
    <w:rsid w:val="004E40CC"/>
    <w:rsid w:val="0051770A"/>
    <w:rsid w:val="005A2786"/>
    <w:rsid w:val="005C4953"/>
    <w:rsid w:val="005C4EAC"/>
    <w:rsid w:val="005F0B71"/>
    <w:rsid w:val="006E3AFF"/>
    <w:rsid w:val="00755E4F"/>
    <w:rsid w:val="0077327E"/>
    <w:rsid w:val="007C4082"/>
    <w:rsid w:val="00832E73"/>
    <w:rsid w:val="008741A9"/>
    <w:rsid w:val="008A27D3"/>
    <w:rsid w:val="008B0533"/>
    <w:rsid w:val="008B78BC"/>
    <w:rsid w:val="00A43078"/>
    <w:rsid w:val="00A5585F"/>
    <w:rsid w:val="00AD634E"/>
    <w:rsid w:val="00B05DC1"/>
    <w:rsid w:val="00B27181"/>
    <w:rsid w:val="00BC55E9"/>
    <w:rsid w:val="00BD470B"/>
    <w:rsid w:val="00BF72A9"/>
    <w:rsid w:val="00C11275"/>
    <w:rsid w:val="00C51FEE"/>
    <w:rsid w:val="00D111E6"/>
    <w:rsid w:val="00D97870"/>
    <w:rsid w:val="00DC145C"/>
    <w:rsid w:val="00DD1423"/>
    <w:rsid w:val="00FA6941"/>
    <w:rsid w:val="00FD7F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2C425"/>
  <w15:chartTrackingRefBased/>
  <w15:docId w15:val="{6A382E50-FF24-40B3-8FED-FC83EA7AC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Verdana" w:hAnsi="Calibri" w:cs="Calibri"/>
        <w:bCs/>
        <w:sz w:val="22"/>
        <w:szCs w:val="22"/>
        <w:lang w:val="en-US" w:eastAsia="en-US" w:bidi="ar-SA"/>
      </w:rPr>
    </w:rPrDefault>
    <w:pPrDefault>
      <w:pPr>
        <w:spacing w:before="19" w:after="240"/>
        <w:ind w:left="1152" w:right="1008"/>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72A9"/>
  </w:style>
  <w:style w:type="paragraph" w:styleId="Heading1">
    <w:name w:val="heading 1"/>
    <w:basedOn w:val="Normal"/>
    <w:next w:val="Normal"/>
    <w:link w:val="Heading1Char"/>
    <w:uiPriority w:val="9"/>
    <w:qFormat/>
    <w:rsid w:val="008A27D3"/>
    <w:pPr>
      <w:keepNext/>
      <w:spacing w:before="0"/>
      <w:ind w:left="0" w:right="0"/>
      <w:outlineLvl w:val="0"/>
    </w:pPr>
    <w:rPr>
      <w:rFonts w:eastAsia="Times New Roman" w:cs="Times New Roman Bold"/>
      <w:bCs w:val="0"/>
      <w:caps/>
      <w:color w:val="0A8044"/>
      <w:kern w:val="32"/>
      <w:sz w:val="28"/>
      <w:szCs w:val="24"/>
      <w:u w:val="single"/>
    </w:rPr>
  </w:style>
  <w:style w:type="paragraph" w:styleId="Heading2">
    <w:name w:val="heading 2"/>
    <w:basedOn w:val="Normal"/>
    <w:next w:val="Normal"/>
    <w:link w:val="Heading2Char"/>
    <w:uiPriority w:val="9"/>
    <w:unhideWhenUsed/>
    <w:qFormat/>
    <w:rsid w:val="00BC55E9"/>
    <w:pPr>
      <w:keepNext/>
      <w:keepLines/>
      <w:spacing w:before="40"/>
      <w:outlineLvl w:val="1"/>
    </w:pPr>
    <w:rPr>
      <w:rFonts w:asciiTheme="minorHAnsi" w:eastAsiaTheme="majorEastAsia" w:hAnsiTheme="minorHAnsi" w:cstheme="majorBidi"/>
      <w:color w:val="00B050"/>
      <w:kern w:val="2"/>
      <w:sz w:val="28"/>
      <w:szCs w:val="26"/>
      <w14:ligatures w14:val="standardContextual"/>
    </w:rPr>
  </w:style>
  <w:style w:type="paragraph" w:styleId="Heading3">
    <w:name w:val="heading 3"/>
    <w:basedOn w:val="Heading2"/>
    <w:next w:val="BodyText"/>
    <w:link w:val="Heading3Char"/>
    <w:uiPriority w:val="9"/>
    <w:unhideWhenUsed/>
    <w:qFormat/>
    <w:rsid w:val="005F0B71"/>
    <w:pPr>
      <w:keepLines w:val="0"/>
      <w:spacing w:before="0"/>
      <w:outlineLvl w:val="2"/>
    </w:pPr>
    <w:rPr>
      <w:rFonts w:ascii="Calibri" w:eastAsia="Times New Roman" w:hAnsi="Calibri" w:cs="Times New Roman Bold"/>
      <w:b/>
      <w:iCs/>
      <w:color w:val="0A8044"/>
      <w:kern w:val="32"/>
      <w:sz w:val="24"/>
      <w:szCs w:val="24"/>
      <w:u w:val="single"/>
      <w:lang w:val="en" w:bidi="en-US"/>
    </w:rPr>
  </w:style>
  <w:style w:type="paragraph" w:styleId="Heading4">
    <w:name w:val="heading 4"/>
    <w:basedOn w:val="Normal"/>
    <w:next w:val="Normal"/>
    <w:link w:val="Heading4Char"/>
    <w:uiPriority w:val="9"/>
    <w:semiHidden/>
    <w:unhideWhenUsed/>
    <w:qFormat/>
    <w:rsid w:val="002E234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2E234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2E2345"/>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E2345"/>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E2345"/>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E2345"/>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27D3"/>
    <w:rPr>
      <w:rFonts w:eastAsia="Times New Roman" w:cs="Times New Roman Bold"/>
      <w:bCs w:val="0"/>
      <w:caps/>
      <w:color w:val="0A8044"/>
      <w:kern w:val="32"/>
      <w:sz w:val="28"/>
      <w:szCs w:val="24"/>
      <w:u w:val="single"/>
    </w:rPr>
  </w:style>
  <w:style w:type="paragraph" w:styleId="BodyText">
    <w:name w:val="Body Text"/>
    <w:basedOn w:val="Normal"/>
    <w:link w:val="BodyTextChar"/>
    <w:uiPriority w:val="99"/>
    <w:semiHidden/>
    <w:unhideWhenUsed/>
    <w:rsid w:val="00FD7FE8"/>
    <w:pPr>
      <w:spacing w:after="120"/>
    </w:pPr>
  </w:style>
  <w:style w:type="character" w:customStyle="1" w:styleId="BodyTextChar">
    <w:name w:val="Body Text Char"/>
    <w:basedOn w:val="DefaultParagraphFont"/>
    <w:link w:val="BodyText"/>
    <w:uiPriority w:val="99"/>
    <w:semiHidden/>
    <w:rsid w:val="00FD7FE8"/>
  </w:style>
  <w:style w:type="character" w:customStyle="1" w:styleId="Heading2Char">
    <w:name w:val="Heading 2 Char"/>
    <w:basedOn w:val="DefaultParagraphFont"/>
    <w:link w:val="Heading2"/>
    <w:uiPriority w:val="9"/>
    <w:rsid w:val="00BC55E9"/>
    <w:rPr>
      <w:rFonts w:eastAsiaTheme="majorEastAsia" w:cstheme="majorBidi"/>
      <w:color w:val="00B050"/>
      <w:sz w:val="28"/>
      <w:szCs w:val="26"/>
    </w:rPr>
  </w:style>
  <w:style w:type="paragraph" w:customStyle="1" w:styleId="Bulletlist">
    <w:name w:val="Bullet list"/>
    <w:basedOn w:val="ListParagraph"/>
    <w:link w:val="BulletlistChar"/>
    <w:qFormat/>
    <w:rsid w:val="008741A9"/>
    <w:pPr>
      <w:numPr>
        <w:numId w:val="2"/>
      </w:numPr>
      <w:spacing w:before="60" w:after="60"/>
      <w:ind w:hanging="360"/>
      <w:contextualSpacing w:val="0"/>
    </w:pPr>
    <w:rPr>
      <w:lang w:bidi="en-US"/>
    </w:rPr>
  </w:style>
  <w:style w:type="character" w:customStyle="1" w:styleId="BulletlistChar">
    <w:name w:val="Bullet list Char"/>
    <w:basedOn w:val="DefaultParagraphFont"/>
    <w:link w:val="Bulletlist"/>
    <w:rsid w:val="008741A9"/>
    <w:rPr>
      <w:rFonts w:ascii="Calibri" w:hAnsi="Calibri"/>
      <w:lang w:bidi="en-US"/>
    </w:rPr>
  </w:style>
  <w:style w:type="paragraph" w:styleId="ListParagraph">
    <w:name w:val="List Paragraph"/>
    <w:basedOn w:val="Normal"/>
    <w:uiPriority w:val="34"/>
    <w:qFormat/>
    <w:rsid w:val="008741A9"/>
    <w:pPr>
      <w:ind w:left="720"/>
      <w:contextualSpacing/>
    </w:pPr>
  </w:style>
  <w:style w:type="character" w:customStyle="1" w:styleId="Heading3Char">
    <w:name w:val="Heading 3 Char"/>
    <w:basedOn w:val="DefaultParagraphFont"/>
    <w:link w:val="Heading3"/>
    <w:uiPriority w:val="9"/>
    <w:rsid w:val="005F0B71"/>
    <w:rPr>
      <w:rFonts w:ascii="Calibri" w:eastAsia="Times New Roman" w:hAnsi="Calibri" w:cs="Times New Roman Bold"/>
      <w:b/>
      <w:iCs/>
      <w:color w:val="0A8044"/>
      <w:kern w:val="32"/>
      <w:sz w:val="24"/>
      <w:szCs w:val="24"/>
      <w:u w:val="single"/>
      <w:lang w:val="en" w:bidi="en-US"/>
    </w:rPr>
  </w:style>
  <w:style w:type="paragraph" w:styleId="EnvelopeAddress">
    <w:name w:val="envelope address"/>
    <w:basedOn w:val="Normal"/>
    <w:uiPriority w:val="99"/>
    <w:semiHidden/>
    <w:unhideWhenUsed/>
    <w:rsid w:val="00B05DC1"/>
    <w:pPr>
      <w:framePr w:w="7920" w:h="1980" w:hRule="exact" w:hSpace="180" w:wrap="auto" w:hAnchor="page" w:xAlign="center" w:yAlign="bottom"/>
      <w:ind w:left="2880"/>
    </w:pPr>
    <w:rPr>
      <w:rFonts w:asciiTheme="majorHAnsi" w:eastAsiaTheme="majorEastAsia" w:hAnsiTheme="majorHAnsi" w:cstheme="majorBidi"/>
      <w:sz w:val="28"/>
    </w:rPr>
  </w:style>
  <w:style w:type="character" w:customStyle="1" w:styleId="Heading4Char">
    <w:name w:val="Heading 4 Char"/>
    <w:basedOn w:val="DefaultParagraphFont"/>
    <w:link w:val="Heading4"/>
    <w:uiPriority w:val="9"/>
    <w:semiHidden/>
    <w:rsid w:val="002E2345"/>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2E2345"/>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2E234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E234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E234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E234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E2345"/>
    <w:pPr>
      <w:spacing w:before="0"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23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2345"/>
    <w:pPr>
      <w:numPr>
        <w:ilvl w:val="1"/>
      </w:numPr>
      <w:spacing w:after="160"/>
      <w:ind w:left="1152"/>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234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E234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E2345"/>
    <w:rPr>
      <w:i/>
      <w:iCs/>
      <w:color w:val="404040" w:themeColor="text1" w:themeTint="BF"/>
    </w:rPr>
  </w:style>
  <w:style w:type="character" w:styleId="IntenseEmphasis">
    <w:name w:val="Intense Emphasis"/>
    <w:basedOn w:val="DefaultParagraphFont"/>
    <w:uiPriority w:val="21"/>
    <w:qFormat/>
    <w:rsid w:val="002E2345"/>
    <w:rPr>
      <w:i/>
      <w:iCs/>
      <w:color w:val="0F4761" w:themeColor="accent1" w:themeShade="BF"/>
    </w:rPr>
  </w:style>
  <w:style w:type="paragraph" w:styleId="IntenseQuote">
    <w:name w:val="Intense Quote"/>
    <w:basedOn w:val="Normal"/>
    <w:next w:val="Normal"/>
    <w:link w:val="IntenseQuoteChar"/>
    <w:uiPriority w:val="30"/>
    <w:qFormat/>
    <w:rsid w:val="002E23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2345"/>
    <w:rPr>
      <w:i/>
      <w:iCs/>
      <w:color w:val="0F4761" w:themeColor="accent1" w:themeShade="BF"/>
    </w:rPr>
  </w:style>
  <w:style w:type="character" w:styleId="IntenseReference">
    <w:name w:val="Intense Reference"/>
    <w:basedOn w:val="DefaultParagraphFont"/>
    <w:uiPriority w:val="32"/>
    <w:qFormat/>
    <w:rsid w:val="002E2345"/>
    <w:rPr>
      <w:b/>
      <w:bCs w:val="0"/>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871</Words>
  <Characters>4966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Erickson</dc:creator>
  <cp:keywords/>
  <dc:description/>
  <cp:lastModifiedBy>Karl Laughton</cp:lastModifiedBy>
  <cp:revision>2</cp:revision>
  <dcterms:created xsi:type="dcterms:W3CDTF">2025-12-06T10:31:00Z</dcterms:created>
  <dcterms:modified xsi:type="dcterms:W3CDTF">2025-12-06T10:31:00Z</dcterms:modified>
</cp:coreProperties>
</file>