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DE57C" w14:textId="7B2BD3A3" w:rsidR="00186F01" w:rsidRPr="009E5822" w:rsidRDefault="00186F01" w:rsidP="00E567EE">
      <w:pPr>
        <w:spacing w:line="240" w:lineRule="auto"/>
        <w:rPr>
          <w:rFonts w:ascii="Segoe UI" w:hAnsi="Segoe UI" w:cs="Segoe UI"/>
          <w:b/>
          <w:bCs/>
        </w:rPr>
      </w:pPr>
      <w:r w:rsidRPr="009E5822">
        <w:rPr>
          <w:rFonts w:ascii="Segoe UI" w:hAnsi="Segoe UI" w:cs="Segoe UI"/>
          <w:b/>
          <w:bCs/>
        </w:rPr>
        <w:t>WAP Sustainability, LLC Comments on</w:t>
      </w:r>
      <w:r w:rsidR="00F0761A" w:rsidRPr="009E5822">
        <w:rPr>
          <w:rFonts w:ascii="Segoe UI" w:hAnsi="Segoe UI" w:cs="Segoe UI"/>
          <w:b/>
          <w:bCs/>
        </w:rPr>
        <w:t xml:space="preserve"> </w:t>
      </w:r>
      <w:r w:rsidR="00A600EF" w:rsidRPr="00A600EF">
        <w:rPr>
          <w:rFonts w:ascii="Segoe UI" w:hAnsi="Segoe UI" w:cs="Segoe UI"/>
          <w:b/>
          <w:bCs/>
        </w:rPr>
        <w:t>California Corporate Greenhouse Gas Reporting Program: Scope 1 and Scope 2 Emissions Draft Reporting Template</w:t>
      </w:r>
    </w:p>
    <w:p w14:paraId="5FE01013" w14:textId="79758493" w:rsidR="00D543AF" w:rsidRDefault="00D543AF" w:rsidP="00E567EE">
      <w:pPr>
        <w:spacing w:before="240" w:line="240" w:lineRule="auto"/>
        <w:rPr>
          <w:rFonts w:ascii="Segoe UI" w:hAnsi="Segoe UI" w:cs="Segoe UI"/>
          <w:b/>
          <w:bCs/>
        </w:rPr>
      </w:pPr>
      <w:r>
        <w:rPr>
          <w:rFonts w:ascii="Segoe UI" w:hAnsi="Segoe UI" w:cs="Segoe UI"/>
          <w:b/>
          <w:bCs/>
        </w:rPr>
        <w:t xml:space="preserve">Reporting Template “Read </w:t>
      </w:r>
      <w:proofErr w:type="spellStart"/>
      <w:r>
        <w:rPr>
          <w:rFonts w:ascii="Segoe UI" w:hAnsi="Segoe UI" w:cs="Segoe UI"/>
          <w:b/>
          <w:bCs/>
        </w:rPr>
        <w:t>Me</w:t>
      </w:r>
      <w:proofErr w:type="spellEnd"/>
      <w:r>
        <w:rPr>
          <w:rFonts w:ascii="Segoe UI" w:hAnsi="Segoe UI" w:cs="Segoe UI"/>
          <w:b/>
          <w:bCs/>
        </w:rPr>
        <w:t xml:space="preserve"> First” Sheet – </w:t>
      </w:r>
      <w:r w:rsidR="00404FAC">
        <w:rPr>
          <w:rFonts w:ascii="Segoe UI" w:hAnsi="Segoe UI" w:cs="Segoe UI"/>
          <w:b/>
          <w:bCs/>
        </w:rPr>
        <w:t>“</w:t>
      </w:r>
      <w:r>
        <w:rPr>
          <w:rFonts w:ascii="Segoe UI" w:hAnsi="Segoe UI" w:cs="Segoe UI"/>
          <w:b/>
          <w:bCs/>
        </w:rPr>
        <w:t>Supporting Materials</w:t>
      </w:r>
      <w:r w:rsidR="00404FAC">
        <w:rPr>
          <w:rFonts w:ascii="Segoe UI" w:hAnsi="Segoe UI" w:cs="Segoe UI"/>
          <w:b/>
          <w:bCs/>
        </w:rPr>
        <w:t>”</w:t>
      </w:r>
    </w:p>
    <w:p w14:paraId="08B38635" w14:textId="5418EE2D" w:rsidR="00D543AF" w:rsidRPr="00D543AF" w:rsidRDefault="00D543AF" w:rsidP="00E567EE">
      <w:pPr>
        <w:spacing w:before="240" w:line="240" w:lineRule="auto"/>
        <w:rPr>
          <w:rFonts w:ascii="Segoe UI" w:hAnsi="Segoe UI" w:cs="Segoe UI"/>
        </w:rPr>
      </w:pPr>
      <w:r>
        <w:rPr>
          <w:rFonts w:ascii="Segoe UI" w:hAnsi="Segoe UI" w:cs="Segoe UI"/>
        </w:rPr>
        <w:t xml:space="preserve">We recommend that CARB </w:t>
      </w:r>
      <w:r w:rsidR="001D5A70">
        <w:rPr>
          <w:rFonts w:ascii="Segoe UI" w:hAnsi="Segoe UI" w:cs="Segoe UI"/>
        </w:rPr>
        <w:t>references the most up to date emission factors, which are currently</w:t>
      </w:r>
      <w:r w:rsidR="00404FAC">
        <w:rPr>
          <w:rFonts w:ascii="Segoe UI" w:hAnsi="Segoe UI" w:cs="Segoe UI"/>
        </w:rPr>
        <w:t xml:space="preserve"> from</w:t>
      </w:r>
      <w:r w:rsidR="001D5A70">
        <w:rPr>
          <w:rFonts w:ascii="Segoe UI" w:hAnsi="Segoe UI" w:cs="Segoe UI"/>
        </w:rPr>
        <w:t xml:space="preserve"> AR6.</w:t>
      </w:r>
      <w:r w:rsidR="00A8512F">
        <w:rPr>
          <w:rFonts w:ascii="Segoe UI" w:hAnsi="Segoe UI" w:cs="Segoe UI"/>
        </w:rPr>
        <w:t xml:space="preserve">  </w:t>
      </w:r>
      <w:r w:rsidR="00A8512F" w:rsidRPr="00D543AF">
        <w:rPr>
          <w:rFonts w:ascii="Segoe UI" w:hAnsi="Segoe UI" w:cs="Segoe UI"/>
        </w:rPr>
        <w:t>The CARB GHG Inventory GWP Values</w:t>
      </w:r>
      <w:r w:rsidR="00A8512F">
        <w:rPr>
          <w:rFonts w:ascii="Segoe UI" w:hAnsi="Segoe UI" w:cs="Segoe UI"/>
        </w:rPr>
        <w:t xml:space="preserve"> reference AR4</w:t>
      </w:r>
      <w:r w:rsidR="00A8512F">
        <w:rPr>
          <w:rFonts w:ascii="Segoe UI" w:hAnsi="Segoe UI" w:cs="Segoe UI"/>
        </w:rPr>
        <w:t>.</w:t>
      </w:r>
    </w:p>
    <w:p w14:paraId="2DC479D4" w14:textId="77777777" w:rsidR="00983A23" w:rsidRDefault="00983A23" w:rsidP="00983A23">
      <w:pPr>
        <w:spacing w:before="240" w:line="240" w:lineRule="auto"/>
        <w:rPr>
          <w:rFonts w:ascii="Segoe UI" w:hAnsi="Segoe UI" w:cs="Segoe UI"/>
          <w:b/>
          <w:bCs/>
        </w:rPr>
      </w:pPr>
      <w:r>
        <w:rPr>
          <w:rFonts w:ascii="Segoe UI" w:hAnsi="Segoe UI" w:cs="Segoe UI"/>
          <w:b/>
          <w:bCs/>
        </w:rPr>
        <w:t>Reporting Template “Form” Sheet – Rows 51 &amp; 58 “Emissions Intensity”</w:t>
      </w:r>
    </w:p>
    <w:p w14:paraId="2F714C2A" w14:textId="77777777" w:rsidR="008F0CBD" w:rsidRDefault="00D51B5D" w:rsidP="00E567EE">
      <w:pPr>
        <w:spacing w:before="240" w:line="240" w:lineRule="auto"/>
        <w:rPr>
          <w:rFonts w:ascii="Segoe UI" w:hAnsi="Segoe UI" w:cs="Segoe UI"/>
        </w:rPr>
      </w:pPr>
      <w:r>
        <w:rPr>
          <w:rFonts w:ascii="Segoe UI" w:hAnsi="Segoe UI" w:cs="Segoe UI"/>
        </w:rPr>
        <w:t>W</w:t>
      </w:r>
      <w:r w:rsidR="00983A23">
        <w:rPr>
          <w:rFonts w:ascii="Segoe UI" w:hAnsi="Segoe UI" w:cs="Segoe UI"/>
        </w:rPr>
        <w:t>hile we applaud efforts to make the data more useful, differences in covered entity business models may shift emissions</w:t>
      </w:r>
      <w:r w:rsidR="00E26092">
        <w:rPr>
          <w:rFonts w:ascii="Segoe UI" w:hAnsi="Segoe UI" w:cs="Segoe UI"/>
        </w:rPr>
        <w:t xml:space="preserve"> from scope 1 &amp; 2</w:t>
      </w:r>
      <w:r w:rsidR="00983A23">
        <w:rPr>
          <w:rFonts w:ascii="Segoe UI" w:hAnsi="Segoe UI" w:cs="Segoe UI"/>
        </w:rPr>
        <w:t xml:space="preserve"> out to scope 3</w:t>
      </w:r>
      <w:r w:rsidR="0008316B">
        <w:rPr>
          <w:rFonts w:ascii="Segoe UI" w:hAnsi="Segoe UI" w:cs="Segoe UI"/>
        </w:rPr>
        <w:t>.  T</w:t>
      </w:r>
      <w:r w:rsidR="00983A23">
        <w:rPr>
          <w:rFonts w:ascii="Segoe UI" w:hAnsi="Segoe UI" w:cs="Segoe UI"/>
        </w:rPr>
        <w:t>hereby</w:t>
      </w:r>
      <w:r w:rsidR="0008316B">
        <w:rPr>
          <w:rFonts w:ascii="Segoe UI" w:hAnsi="Segoe UI" w:cs="Segoe UI"/>
        </w:rPr>
        <w:t>,</w:t>
      </w:r>
      <w:r w:rsidR="00983A23">
        <w:rPr>
          <w:rFonts w:ascii="Segoe UI" w:hAnsi="Segoe UI" w:cs="Segoe UI"/>
        </w:rPr>
        <w:t xml:space="preserve"> scope 1 &amp; 2 emissions intensities without appropriate scope 3 context may misrepresent the carbon intensity of covered entities</w:t>
      </w:r>
      <w:r w:rsidR="0008316B">
        <w:rPr>
          <w:rFonts w:ascii="Segoe UI" w:hAnsi="Segoe UI" w:cs="Segoe UI"/>
        </w:rPr>
        <w:t>.</w:t>
      </w:r>
      <w:r w:rsidR="008F0CBD">
        <w:rPr>
          <w:rFonts w:ascii="Segoe UI" w:hAnsi="Segoe UI" w:cs="Segoe UI"/>
        </w:rPr>
        <w:t xml:space="preserve">  </w:t>
      </w:r>
      <w:r w:rsidR="00983A23">
        <w:rPr>
          <w:rFonts w:ascii="Segoe UI" w:hAnsi="Segoe UI" w:cs="Segoe UI"/>
        </w:rPr>
        <w:t xml:space="preserve">The influence of business models may similarly shift emissions between scope 1 &amp; 2.  </w:t>
      </w:r>
    </w:p>
    <w:p w14:paraId="75D5FFD5" w14:textId="42075C6B" w:rsidR="00983A23" w:rsidRDefault="00983A23" w:rsidP="00E567EE">
      <w:pPr>
        <w:spacing w:before="240" w:line="240" w:lineRule="auto"/>
        <w:rPr>
          <w:rFonts w:ascii="Segoe UI" w:hAnsi="Segoe UI" w:cs="Segoe UI"/>
        </w:rPr>
      </w:pPr>
      <w:r>
        <w:rPr>
          <w:rFonts w:ascii="Segoe UI" w:hAnsi="Segoe UI" w:cs="Segoe UI"/>
        </w:rPr>
        <w:t xml:space="preserve">If CARB intends to continue to require an intensity metric, </w:t>
      </w:r>
      <w:r w:rsidR="002258B3">
        <w:rPr>
          <w:rFonts w:ascii="Segoe UI" w:hAnsi="Segoe UI" w:cs="Segoe UI"/>
        </w:rPr>
        <w:t xml:space="preserve">we recommend that </w:t>
      </w:r>
      <w:r>
        <w:rPr>
          <w:rFonts w:ascii="Segoe UI" w:hAnsi="Segoe UI" w:cs="Segoe UI"/>
        </w:rPr>
        <w:t>CARB</w:t>
      </w:r>
      <w:r w:rsidR="002258B3">
        <w:rPr>
          <w:rFonts w:ascii="Segoe UI" w:hAnsi="Segoe UI" w:cs="Segoe UI"/>
        </w:rPr>
        <w:t xml:space="preserve"> </w:t>
      </w:r>
      <w:r>
        <w:rPr>
          <w:rFonts w:ascii="Segoe UI" w:hAnsi="Segoe UI" w:cs="Segoe UI"/>
        </w:rPr>
        <w:t>require</w:t>
      </w:r>
      <w:r w:rsidR="002258B3">
        <w:rPr>
          <w:rFonts w:ascii="Segoe UI" w:hAnsi="Segoe UI" w:cs="Segoe UI"/>
        </w:rPr>
        <w:t>s</w:t>
      </w:r>
      <w:r>
        <w:rPr>
          <w:rFonts w:ascii="Segoe UI" w:hAnsi="Segoe UI" w:cs="Segoe UI"/>
        </w:rPr>
        <w:t xml:space="preserve"> aggregate scope 1 &amp; 2 emissions intensity, rather than reporting scope 1 intensity and scope 2 intensity separately as an initial step to control for differences in business model before additional steps can be taken in 2027 with scope 3 reporting.</w:t>
      </w:r>
    </w:p>
    <w:p w14:paraId="270494FE" w14:textId="0A708C53" w:rsidR="00D51B5D" w:rsidRPr="00983A23" w:rsidRDefault="00D51B5D" w:rsidP="00E567EE">
      <w:pPr>
        <w:spacing w:before="240" w:line="240" w:lineRule="auto"/>
        <w:rPr>
          <w:rFonts w:ascii="Segoe UI" w:hAnsi="Segoe UI" w:cs="Segoe UI"/>
        </w:rPr>
      </w:pPr>
      <w:r>
        <w:rPr>
          <w:rFonts w:ascii="Segoe UI" w:hAnsi="Segoe UI" w:cs="Segoe UI"/>
        </w:rPr>
        <w:t>Furthermore, t</w:t>
      </w:r>
      <w:r w:rsidRPr="00A84A92">
        <w:rPr>
          <w:rFonts w:ascii="Segoe UI" w:hAnsi="Segoe UI" w:cs="Segoe UI"/>
        </w:rPr>
        <w:t xml:space="preserve">he emissions intensity </w:t>
      </w:r>
      <w:r>
        <w:rPr>
          <w:rFonts w:ascii="Segoe UI" w:hAnsi="Segoe UI" w:cs="Segoe UI"/>
        </w:rPr>
        <w:t>disclosures in rows 51 and 58 may present issues for private companies due to the confidentiality of financial data.</w:t>
      </w:r>
    </w:p>
    <w:p w14:paraId="362D3DC6" w14:textId="06E76338" w:rsidR="00E567EE" w:rsidRDefault="00C81860" w:rsidP="00E567EE">
      <w:pPr>
        <w:spacing w:before="240" w:line="240" w:lineRule="auto"/>
        <w:rPr>
          <w:rFonts w:ascii="Segoe UI" w:hAnsi="Segoe UI" w:cs="Segoe UI"/>
          <w:b/>
          <w:bCs/>
        </w:rPr>
      </w:pPr>
      <w:r>
        <w:rPr>
          <w:rFonts w:ascii="Segoe UI" w:hAnsi="Segoe UI" w:cs="Segoe UI"/>
          <w:b/>
          <w:bCs/>
        </w:rPr>
        <w:t xml:space="preserve">Reporting Template “Form” Sheet – Rows </w:t>
      </w:r>
      <w:r w:rsidR="00EF12AE">
        <w:rPr>
          <w:rFonts w:ascii="Segoe UI" w:hAnsi="Segoe UI" w:cs="Segoe UI"/>
          <w:b/>
          <w:bCs/>
        </w:rPr>
        <w:t>52-53 &amp; 59-60 “No” Option for Limited Assurance</w:t>
      </w:r>
    </w:p>
    <w:p w14:paraId="5DA00E4E" w14:textId="40C14E43" w:rsidR="00716998" w:rsidRDefault="00EF12AE" w:rsidP="00E567EE">
      <w:pPr>
        <w:spacing w:before="240" w:line="240" w:lineRule="auto"/>
        <w:rPr>
          <w:rFonts w:ascii="Segoe UI" w:hAnsi="Segoe UI" w:cs="Segoe UI"/>
        </w:rPr>
      </w:pPr>
      <w:r>
        <w:rPr>
          <w:rFonts w:ascii="Segoe UI" w:hAnsi="Segoe UI" w:cs="Segoe UI"/>
        </w:rPr>
        <w:t xml:space="preserve">Can CARB clarify why a “No” option is provided for limited assurance in the </w:t>
      </w:r>
      <w:r w:rsidR="00956F37">
        <w:rPr>
          <w:rFonts w:ascii="Segoe UI" w:hAnsi="Segoe UI" w:cs="Segoe UI"/>
        </w:rPr>
        <w:t>“Form” sheet of the R</w:t>
      </w:r>
      <w:r>
        <w:rPr>
          <w:rFonts w:ascii="Segoe UI" w:hAnsi="Segoe UI" w:cs="Segoe UI"/>
        </w:rPr>
        <w:t xml:space="preserve">eporting </w:t>
      </w:r>
      <w:r w:rsidR="00956F37">
        <w:rPr>
          <w:rFonts w:ascii="Segoe UI" w:hAnsi="Segoe UI" w:cs="Segoe UI"/>
        </w:rPr>
        <w:t>T</w:t>
      </w:r>
      <w:r>
        <w:rPr>
          <w:rFonts w:ascii="Segoe UI" w:hAnsi="Segoe UI" w:cs="Segoe UI"/>
        </w:rPr>
        <w:t xml:space="preserve">emplate?  </w:t>
      </w:r>
      <w:r w:rsidR="003D75E0">
        <w:rPr>
          <w:rFonts w:ascii="Segoe UI" w:hAnsi="Segoe UI" w:cs="Segoe UI"/>
        </w:rPr>
        <w:t>Does th</w:t>
      </w:r>
      <w:r w:rsidR="00956F37">
        <w:rPr>
          <w:rFonts w:ascii="Segoe UI" w:hAnsi="Segoe UI" w:cs="Segoe UI"/>
        </w:rPr>
        <w:t>e inclusion of a “No” option</w:t>
      </w:r>
      <w:r w:rsidR="003D75E0">
        <w:rPr>
          <w:rFonts w:ascii="Segoe UI" w:hAnsi="Segoe UI" w:cs="Segoe UI"/>
        </w:rPr>
        <w:t xml:space="preserve"> imply any </w:t>
      </w:r>
      <w:r w:rsidR="00702A65">
        <w:rPr>
          <w:rFonts w:ascii="Segoe UI" w:hAnsi="Segoe UI" w:cs="Segoe UI"/>
        </w:rPr>
        <w:t>initial</w:t>
      </w:r>
      <w:r w:rsidR="00707413">
        <w:rPr>
          <w:rFonts w:ascii="Segoe UI" w:hAnsi="Segoe UI" w:cs="Segoe UI"/>
        </w:rPr>
        <w:t xml:space="preserve"> leniency in the reporting requirements in connection with the December 5</w:t>
      </w:r>
      <w:r w:rsidR="00707413" w:rsidRPr="00707413">
        <w:rPr>
          <w:rFonts w:ascii="Segoe UI" w:hAnsi="Segoe UI" w:cs="Segoe UI"/>
          <w:vertAlign w:val="superscript"/>
        </w:rPr>
        <w:t>th</w:t>
      </w:r>
      <w:r w:rsidR="00707413">
        <w:rPr>
          <w:rFonts w:ascii="Segoe UI" w:hAnsi="Segoe UI" w:cs="Segoe UI"/>
        </w:rPr>
        <w:t xml:space="preserve">, </w:t>
      </w:r>
      <w:r w:rsidR="008F0CBD">
        <w:rPr>
          <w:rFonts w:ascii="Segoe UI" w:hAnsi="Segoe UI" w:cs="Segoe UI"/>
        </w:rPr>
        <w:t>2024,</w:t>
      </w:r>
      <w:r w:rsidR="00707413">
        <w:rPr>
          <w:rFonts w:ascii="Segoe UI" w:hAnsi="Segoe UI" w:cs="Segoe UI"/>
        </w:rPr>
        <w:t xml:space="preserve"> Enforcement Notice?</w:t>
      </w:r>
    </w:p>
    <w:p w14:paraId="5A92CE66" w14:textId="71A412C4" w:rsidR="00707413" w:rsidRDefault="00E2297A" w:rsidP="00E567EE">
      <w:pPr>
        <w:spacing w:before="240" w:line="240" w:lineRule="auto"/>
        <w:rPr>
          <w:rFonts w:ascii="Segoe UI" w:hAnsi="Segoe UI" w:cs="Segoe UI"/>
        </w:rPr>
      </w:pPr>
      <w:r>
        <w:rPr>
          <w:rFonts w:ascii="Segoe UI" w:hAnsi="Segoe UI" w:cs="Segoe UI"/>
        </w:rPr>
        <w:t xml:space="preserve">We recommend that CARB clearly explains the intention for including a “No” option and any connection to the </w:t>
      </w:r>
      <w:r>
        <w:rPr>
          <w:rFonts w:ascii="Segoe UI" w:hAnsi="Segoe UI" w:cs="Segoe UI"/>
        </w:rPr>
        <w:t>December 5</w:t>
      </w:r>
      <w:r w:rsidRPr="00707413">
        <w:rPr>
          <w:rFonts w:ascii="Segoe UI" w:hAnsi="Segoe UI" w:cs="Segoe UI"/>
          <w:vertAlign w:val="superscript"/>
        </w:rPr>
        <w:t>th</w:t>
      </w:r>
      <w:r>
        <w:rPr>
          <w:rFonts w:ascii="Segoe UI" w:hAnsi="Segoe UI" w:cs="Segoe UI"/>
        </w:rPr>
        <w:t xml:space="preserve">, </w:t>
      </w:r>
      <w:r w:rsidR="008F0CBD">
        <w:rPr>
          <w:rFonts w:ascii="Segoe UI" w:hAnsi="Segoe UI" w:cs="Segoe UI"/>
        </w:rPr>
        <w:t>2024,</w:t>
      </w:r>
      <w:r>
        <w:rPr>
          <w:rFonts w:ascii="Segoe UI" w:hAnsi="Segoe UI" w:cs="Segoe UI"/>
        </w:rPr>
        <w:t xml:space="preserve"> Enforcement Notice</w:t>
      </w:r>
      <w:r>
        <w:rPr>
          <w:rFonts w:ascii="Segoe UI" w:hAnsi="Segoe UI" w:cs="Segoe UI"/>
        </w:rPr>
        <w:t xml:space="preserve">, including a </w:t>
      </w:r>
      <w:r w:rsidR="00702A65">
        <w:rPr>
          <w:rFonts w:ascii="Segoe UI" w:hAnsi="Segoe UI" w:cs="Segoe UI"/>
        </w:rPr>
        <w:t xml:space="preserve">definition of “incomplete reporting” as it is written in the </w:t>
      </w:r>
      <w:r w:rsidR="003971AB">
        <w:rPr>
          <w:rFonts w:ascii="Segoe UI" w:hAnsi="Segoe UI" w:cs="Segoe UI"/>
        </w:rPr>
        <w:t>Enforcement Notice</w:t>
      </w:r>
      <w:r w:rsidR="003971AB">
        <w:rPr>
          <w:rFonts w:ascii="Segoe UI" w:hAnsi="Segoe UI" w:cs="Segoe UI"/>
        </w:rPr>
        <w:t xml:space="preserve">.  Our previous recommendation regarding clarity on </w:t>
      </w:r>
      <w:r w:rsidR="003971AB">
        <w:rPr>
          <w:rFonts w:ascii="Segoe UI" w:hAnsi="Segoe UI" w:cs="Segoe UI"/>
        </w:rPr>
        <w:t>“incomplete reporting”</w:t>
      </w:r>
      <w:r w:rsidR="003971AB">
        <w:rPr>
          <w:rFonts w:ascii="Segoe UI" w:hAnsi="Segoe UI" w:cs="Segoe UI"/>
        </w:rPr>
        <w:t xml:space="preserve"> and the Enforcement Notice </w:t>
      </w:r>
      <w:r w:rsidR="00956F37">
        <w:rPr>
          <w:rFonts w:ascii="Segoe UI" w:hAnsi="Segoe UI" w:cs="Segoe UI"/>
        </w:rPr>
        <w:t>is</w:t>
      </w:r>
      <w:r w:rsidR="003971AB">
        <w:rPr>
          <w:rFonts w:ascii="Segoe UI" w:hAnsi="Segoe UI" w:cs="Segoe UI"/>
        </w:rPr>
        <w:t xml:space="preserve"> shown below:</w:t>
      </w:r>
    </w:p>
    <w:p w14:paraId="7D428450" w14:textId="77777777" w:rsidR="00E2297A" w:rsidRPr="009E5822" w:rsidRDefault="00E2297A" w:rsidP="003971AB">
      <w:pPr>
        <w:pStyle w:val="ListParagraph"/>
        <w:spacing w:before="240" w:line="240" w:lineRule="auto"/>
        <w:contextualSpacing w:val="0"/>
        <w:rPr>
          <w:rFonts w:ascii="Segoe UI" w:hAnsi="Segoe UI" w:cs="Segoe UI"/>
        </w:rPr>
      </w:pPr>
      <w:r w:rsidRPr="009E5822">
        <w:rPr>
          <w:rFonts w:ascii="Segoe UI" w:hAnsi="Segoe UI" w:cs="Segoe UI"/>
        </w:rPr>
        <w:t xml:space="preserve">The phrase “For the first reporting cycle, CARB will not take enforcement action for incomplete reporting against entities…” creates potential misalignment with SB 253, as written and amended by SB 219, given that SB 253 states “That a reporting entity obtains an assurance engagement…for scope 1 emissions and </w:t>
      </w:r>
      <w:r w:rsidRPr="009E5822">
        <w:rPr>
          <w:rFonts w:ascii="Segoe UI" w:hAnsi="Segoe UI" w:cs="Segoe UI"/>
        </w:rPr>
        <w:lastRenderedPageBreak/>
        <w:t xml:space="preserve">scope 2 emissions [which] shall be performed at a limited assurance level beginning in 2026.”  </w:t>
      </w:r>
    </w:p>
    <w:p w14:paraId="7BDAF24F" w14:textId="77777777" w:rsidR="00E2297A" w:rsidRPr="009E5822" w:rsidRDefault="00E2297A" w:rsidP="003971AB">
      <w:pPr>
        <w:pStyle w:val="ListParagraph"/>
        <w:spacing w:before="240" w:line="240" w:lineRule="auto"/>
        <w:contextualSpacing w:val="0"/>
        <w:rPr>
          <w:rFonts w:ascii="Segoe UI" w:hAnsi="Segoe UI" w:cs="Segoe UI"/>
        </w:rPr>
      </w:pPr>
      <w:r w:rsidRPr="009E5822">
        <w:rPr>
          <w:rFonts w:ascii="Segoe UI" w:hAnsi="Segoe UI" w:cs="Segoe UI"/>
        </w:rPr>
        <w:t>This potential misalignment arises from the question</w:t>
      </w:r>
      <w:r>
        <w:rPr>
          <w:rFonts w:ascii="Segoe UI" w:hAnsi="Segoe UI" w:cs="Segoe UI"/>
        </w:rPr>
        <w:t>, which we pose to CARB</w:t>
      </w:r>
      <w:r w:rsidRPr="009E5822">
        <w:rPr>
          <w:rFonts w:ascii="Segoe UI" w:hAnsi="Segoe UI" w:cs="Segoe UI"/>
        </w:rPr>
        <w:t xml:space="preserve"> – how could a reporting entity obtain limited assurance for their scope 1 and 2 public disclosures, as required by SB 253, with “incomplete reporting” of their scope 1 and 2 emissions, as stated in the Enforcement Notice?</w:t>
      </w:r>
    </w:p>
    <w:p w14:paraId="19E83B95" w14:textId="03B2A2A7" w:rsidR="00E2297A" w:rsidRDefault="00E2297A" w:rsidP="003971AB">
      <w:pPr>
        <w:pStyle w:val="ListParagraph"/>
        <w:spacing w:before="240" w:line="240" w:lineRule="auto"/>
        <w:contextualSpacing w:val="0"/>
        <w:rPr>
          <w:rFonts w:ascii="Segoe UI" w:hAnsi="Segoe UI" w:cs="Segoe UI"/>
        </w:rPr>
      </w:pPr>
      <w:r w:rsidRPr="009E5822">
        <w:rPr>
          <w:rFonts w:ascii="Segoe UI" w:hAnsi="Segoe UI" w:cs="Segoe UI"/>
        </w:rPr>
        <w:t xml:space="preserve">We are asking that CARB please clarify the definition of “incomplete reporting” in the Enforcement </w:t>
      </w:r>
      <w:r w:rsidR="00624D75">
        <w:rPr>
          <w:rFonts w:ascii="Segoe UI" w:hAnsi="Segoe UI" w:cs="Segoe UI"/>
        </w:rPr>
        <w:t>N</w:t>
      </w:r>
      <w:r w:rsidRPr="009E5822">
        <w:rPr>
          <w:rFonts w:ascii="Segoe UI" w:hAnsi="Segoe UI" w:cs="Segoe UI"/>
        </w:rPr>
        <w:t>otice.  We recommend that CARB defines “incomplete reporting,” as stated in the Enforcement Notice, as “The reporting entity made a good faith effort to report accurate and complete scope 1 and 2 emissions disclosures and obtain limited assurance for their disclosures.  The reporting entity, however, was unable to obtain limited assurance of their disclosures based upon the opinion of the assurance provider.  Although the reporting entity did not complete the reporting requirements of SB 253, the reporting entity must still provide a copy of the assurance provider’s report on the greenhouse gas emissions inventory, as denoted in SB 253.”</w:t>
      </w:r>
    </w:p>
    <w:p w14:paraId="3B453565" w14:textId="7080AD8E" w:rsidR="00EB1C2A" w:rsidRDefault="00EB1C2A" w:rsidP="00EB1C2A">
      <w:pPr>
        <w:pStyle w:val="ListParagraph"/>
        <w:spacing w:before="240" w:line="240" w:lineRule="auto"/>
        <w:ind w:left="0"/>
        <w:contextualSpacing w:val="0"/>
        <w:rPr>
          <w:rFonts w:ascii="Segoe UI" w:hAnsi="Segoe UI" w:cs="Segoe UI"/>
        </w:rPr>
      </w:pPr>
      <w:r>
        <w:rPr>
          <w:rFonts w:ascii="Segoe UI" w:hAnsi="Segoe UI" w:cs="Segoe UI"/>
        </w:rPr>
        <w:t xml:space="preserve">If </w:t>
      </w:r>
      <w:r w:rsidR="00436FDA">
        <w:rPr>
          <w:rFonts w:ascii="Segoe UI" w:hAnsi="Segoe UI" w:cs="Segoe UI"/>
        </w:rPr>
        <w:t>CARB agrees with this interpretation, we recommend utilizing the Free Text field for “No” respondents to include t</w:t>
      </w:r>
      <w:r w:rsidR="00EC0FEF">
        <w:rPr>
          <w:rFonts w:ascii="Segoe UI" w:hAnsi="Segoe UI" w:cs="Segoe UI"/>
        </w:rPr>
        <w:t>heir assurance documentation as proof of a “good faith” effort</w:t>
      </w:r>
      <w:r w:rsidR="00624D75">
        <w:rPr>
          <w:rFonts w:ascii="Segoe UI" w:hAnsi="Segoe UI" w:cs="Segoe UI"/>
        </w:rPr>
        <w:t xml:space="preserve">, as noted in the </w:t>
      </w:r>
      <w:r w:rsidR="00624D75" w:rsidRPr="009E5822">
        <w:rPr>
          <w:rFonts w:ascii="Segoe UI" w:hAnsi="Segoe UI" w:cs="Segoe UI"/>
        </w:rPr>
        <w:t xml:space="preserve">Enforcement </w:t>
      </w:r>
      <w:r w:rsidR="00624D75">
        <w:rPr>
          <w:rFonts w:ascii="Segoe UI" w:hAnsi="Segoe UI" w:cs="Segoe UI"/>
        </w:rPr>
        <w:t>N</w:t>
      </w:r>
      <w:r w:rsidR="00624D75" w:rsidRPr="009E5822">
        <w:rPr>
          <w:rFonts w:ascii="Segoe UI" w:hAnsi="Segoe UI" w:cs="Segoe UI"/>
        </w:rPr>
        <w:t>otice</w:t>
      </w:r>
      <w:r w:rsidR="00624D75">
        <w:rPr>
          <w:rFonts w:ascii="Segoe UI" w:hAnsi="Segoe UI" w:cs="Segoe UI"/>
        </w:rPr>
        <w:t>.</w:t>
      </w:r>
    </w:p>
    <w:p w14:paraId="287F9FDA" w14:textId="55A9556C" w:rsidR="00F31263" w:rsidRDefault="00F31263" w:rsidP="00F31263">
      <w:pPr>
        <w:spacing w:before="240" w:line="240" w:lineRule="auto"/>
        <w:rPr>
          <w:rFonts w:ascii="Segoe UI" w:hAnsi="Segoe UI" w:cs="Segoe UI"/>
          <w:b/>
          <w:bCs/>
        </w:rPr>
      </w:pPr>
      <w:r>
        <w:rPr>
          <w:rFonts w:ascii="Segoe UI" w:hAnsi="Segoe UI" w:cs="Segoe UI"/>
          <w:b/>
          <w:bCs/>
        </w:rPr>
        <w:t xml:space="preserve">Reporting Template “Form” Sheet – Rows </w:t>
      </w:r>
      <w:r>
        <w:rPr>
          <w:rFonts w:ascii="Segoe UI" w:hAnsi="Segoe UI" w:cs="Segoe UI"/>
          <w:b/>
          <w:bCs/>
        </w:rPr>
        <w:t>69</w:t>
      </w:r>
      <w:r>
        <w:rPr>
          <w:rFonts w:ascii="Segoe UI" w:hAnsi="Segoe UI" w:cs="Segoe UI"/>
          <w:b/>
          <w:bCs/>
        </w:rPr>
        <w:t>-</w:t>
      </w:r>
      <w:r>
        <w:rPr>
          <w:rFonts w:ascii="Segoe UI" w:hAnsi="Segoe UI" w:cs="Segoe UI"/>
          <w:b/>
          <w:bCs/>
        </w:rPr>
        <w:t>7</w:t>
      </w:r>
      <w:r>
        <w:rPr>
          <w:rFonts w:ascii="Segoe UI" w:hAnsi="Segoe UI" w:cs="Segoe UI"/>
          <w:b/>
          <w:bCs/>
        </w:rPr>
        <w:t xml:space="preserve">0 </w:t>
      </w:r>
      <w:r w:rsidR="00CD0D46">
        <w:rPr>
          <w:rFonts w:ascii="Segoe UI" w:hAnsi="Segoe UI" w:cs="Segoe UI"/>
          <w:b/>
          <w:bCs/>
        </w:rPr>
        <w:t>“</w:t>
      </w:r>
      <w:r w:rsidR="00423E92" w:rsidRPr="00423E92">
        <w:rPr>
          <w:rFonts w:ascii="Segoe UI" w:hAnsi="Segoe UI" w:cs="Segoe UI"/>
          <w:b/>
          <w:bCs/>
        </w:rPr>
        <w:t>Miniscule Sources / de minimis</w:t>
      </w:r>
      <w:r w:rsidR="00CD0D46">
        <w:rPr>
          <w:rFonts w:ascii="Segoe UI" w:hAnsi="Segoe UI" w:cs="Segoe UI"/>
          <w:b/>
          <w:bCs/>
        </w:rPr>
        <w:t>”</w:t>
      </w:r>
    </w:p>
    <w:p w14:paraId="0AF916E6" w14:textId="755E6E61" w:rsidR="00423E92" w:rsidRDefault="00EC03AD" w:rsidP="00F31263">
      <w:pPr>
        <w:spacing w:before="240" w:line="240" w:lineRule="auto"/>
        <w:rPr>
          <w:rFonts w:ascii="Segoe UI" w:hAnsi="Segoe UI" w:cs="Segoe UI"/>
        </w:rPr>
      </w:pPr>
      <w:r>
        <w:rPr>
          <w:rFonts w:ascii="Segoe UI" w:hAnsi="Segoe UI" w:cs="Segoe UI"/>
        </w:rPr>
        <w:t>We recommend that CARB removes the</w:t>
      </w:r>
      <w:r w:rsidR="00CD0D46">
        <w:rPr>
          <w:rFonts w:ascii="Segoe UI" w:hAnsi="Segoe UI" w:cs="Segoe UI"/>
        </w:rPr>
        <w:t xml:space="preserve"> questions on rows 69-70 regarding “</w:t>
      </w:r>
      <w:r w:rsidR="00423E92" w:rsidRPr="00423E92">
        <w:rPr>
          <w:rFonts w:ascii="Segoe UI" w:hAnsi="Segoe UI" w:cs="Segoe UI"/>
        </w:rPr>
        <w:t>Miniscule Sources / de minimis</w:t>
      </w:r>
      <w:r w:rsidR="00423E92">
        <w:rPr>
          <w:rFonts w:ascii="Segoe UI" w:hAnsi="Segoe UI" w:cs="Segoe UI"/>
        </w:rPr>
        <w:t xml:space="preserve">.”  These questions </w:t>
      </w:r>
      <w:r w:rsidR="00B41B71">
        <w:rPr>
          <w:rFonts w:ascii="Segoe UI" w:hAnsi="Segoe UI" w:cs="Segoe UI"/>
        </w:rPr>
        <w:t>contradict</w:t>
      </w:r>
      <w:r w:rsidR="00423E92">
        <w:rPr>
          <w:rFonts w:ascii="Segoe UI" w:hAnsi="Segoe UI" w:cs="Segoe UI"/>
        </w:rPr>
        <w:t xml:space="preserve"> the </w:t>
      </w:r>
      <w:r w:rsidR="00122F67">
        <w:rPr>
          <w:rFonts w:ascii="Segoe UI" w:hAnsi="Segoe UI" w:cs="Segoe UI"/>
        </w:rPr>
        <w:t xml:space="preserve">GHG Protocol </w:t>
      </w:r>
      <w:r w:rsidR="00122F67" w:rsidRPr="009E5822">
        <w:rPr>
          <w:rFonts w:ascii="Segoe UI" w:hAnsi="Segoe UI" w:cs="Segoe UI"/>
        </w:rPr>
        <w:t>Corporate Standard</w:t>
      </w:r>
      <w:r w:rsidR="00122F67" w:rsidRPr="009E5822">
        <w:rPr>
          <w:rStyle w:val="FootnoteReference"/>
          <w:rFonts w:ascii="Segoe UI" w:hAnsi="Segoe UI" w:cs="Segoe UI"/>
        </w:rPr>
        <w:footnoteReference w:id="2"/>
      </w:r>
      <w:r w:rsidR="00122F67" w:rsidRPr="009E5822">
        <w:rPr>
          <w:rFonts w:ascii="Segoe UI" w:hAnsi="Segoe UI" w:cs="Segoe UI"/>
        </w:rPr>
        <w:t xml:space="preserve"> </w:t>
      </w:r>
      <w:r w:rsidR="00423E92">
        <w:rPr>
          <w:rFonts w:ascii="Segoe UI" w:hAnsi="Segoe UI" w:cs="Segoe UI"/>
        </w:rPr>
        <w:t xml:space="preserve">guidance in two ways.  </w:t>
      </w:r>
    </w:p>
    <w:p w14:paraId="02C22BDA" w14:textId="1059F97E" w:rsidR="00EC03AD" w:rsidRDefault="00423E92" w:rsidP="00F31263">
      <w:pPr>
        <w:spacing w:before="240" w:line="240" w:lineRule="auto"/>
        <w:rPr>
          <w:rFonts w:ascii="Segoe UI" w:hAnsi="Segoe UI" w:cs="Segoe UI"/>
        </w:rPr>
      </w:pPr>
      <w:r>
        <w:rPr>
          <w:rFonts w:ascii="Segoe UI" w:hAnsi="Segoe UI" w:cs="Segoe UI"/>
        </w:rPr>
        <w:t xml:space="preserve">First, the </w:t>
      </w:r>
      <w:r w:rsidR="007B66C6">
        <w:rPr>
          <w:rFonts w:ascii="Segoe UI" w:hAnsi="Segoe UI" w:cs="Segoe UI"/>
        </w:rPr>
        <w:t xml:space="preserve">terminology in column A “Category” of “de minimis” </w:t>
      </w:r>
      <w:r w:rsidR="006F3B0B">
        <w:rPr>
          <w:rFonts w:ascii="Segoe UI" w:hAnsi="Segoe UI" w:cs="Segoe UI"/>
        </w:rPr>
        <w:t>is misaligned with</w:t>
      </w:r>
      <w:r w:rsidR="007B66C6">
        <w:rPr>
          <w:rFonts w:ascii="Segoe UI" w:hAnsi="Segoe UI" w:cs="Segoe UI"/>
        </w:rPr>
        <w:t xml:space="preserve"> the </w:t>
      </w:r>
      <w:r w:rsidR="000120C0">
        <w:rPr>
          <w:rFonts w:ascii="Segoe UI" w:hAnsi="Segoe UI" w:cs="Segoe UI"/>
        </w:rPr>
        <w:t xml:space="preserve">question in column D, which mentions “materiality threshold.”  </w:t>
      </w:r>
      <w:r w:rsidR="006437E6" w:rsidRPr="00EE7554">
        <w:rPr>
          <w:rFonts w:ascii="Segoe UI" w:hAnsi="Segoe UI" w:cs="Segoe UI"/>
        </w:rPr>
        <w:t xml:space="preserve">Page 70 of the GHG Protocol Corporate Standard, </w:t>
      </w:r>
      <w:r w:rsidR="00EE7554" w:rsidRPr="00EE7554">
        <w:rPr>
          <w:rFonts w:ascii="Segoe UI" w:hAnsi="Segoe UI" w:cs="Segoe UI"/>
        </w:rPr>
        <w:t xml:space="preserve">the Protocol </w:t>
      </w:r>
      <w:r w:rsidR="000120C0">
        <w:rPr>
          <w:rFonts w:ascii="Segoe UI" w:hAnsi="Segoe UI" w:cs="Segoe UI"/>
        </w:rPr>
        <w:t xml:space="preserve">explains how these terms are not </w:t>
      </w:r>
      <w:r w:rsidR="006F3B0B">
        <w:rPr>
          <w:rFonts w:ascii="Segoe UI" w:hAnsi="Segoe UI" w:cs="Segoe UI"/>
        </w:rPr>
        <w:t>interchangeable:</w:t>
      </w:r>
    </w:p>
    <w:p w14:paraId="39D36C77" w14:textId="0475CE9E" w:rsidR="00EC03AD" w:rsidRDefault="00EE7554" w:rsidP="00EC03AD">
      <w:pPr>
        <w:spacing w:before="240" w:line="240" w:lineRule="auto"/>
        <w:ind w:left="720"/>
        <w:rPr>
          <w:rFonts w:ascii="Segoe UI" w:hAnsi="Segoe UI" w:cs="Segoe UI"/>
        </w:rPr>
      </w:pPr>
      <w:r w:rsidRPr="00EE7554">
        <w:rPr>
          <w:rFonts w:ascii="Segoe UI" w:hAnsi="Segoe UI" w:cs="Segoe UI"/>
        </w:rPr>
        <w:t>“</w:t>
      </w:r>
      <w:r w:rsidRPr="00EE7554">
        <w:rPr>
          <w:rFonts w:ascii="Segoe UI" w:hAnsi="Segoe UI" w:cs="Segoe UI"/>
        </w:rPr>
        <w:t>A materiality threshold is not the same as de minimis emissions, or a permissible quantity of emissions that a company can leave out of its inventory</w:t>
      </w:r>
      <w:r w:rsidR="006F3B0B">
        <w:rPr>
          <w:rFonts w:ascii="Segoe UI" w:hAnsi="Segoe UI" w:cs="Segoe UI"/>
        </w:rPr>
        <w:t>…</w:t>
      </w:r>
      <w:r w:rsidR="001359CB" w:rsidRPr="001359CB">
        <w:t xml:space="preserve"> </w:t>
      </w:r>
      <w:r w:rsidR="001359CB" w:rsidRPr="001359CB">
        <w:rPr>
          <w:rFonts w:ascii="Segoe UI" w:hAnsi="Segoe UI" w:cs="Segoe UI"/>
        </w:rPr>
        <w:t xml:space="preserve">A threshold is often used to determine whether an error or omission is a material discrepancy or not. </w:t>
      </w:r>
      <w:r w:rsidR="001359CB" w:rsidRPr="00F04A1D">
        <w:rPr>
          <w:rFonts w:ascii="Segoe UI" w:hAnsi="Segoe UI" w:cs="Segoe UI"/>
          <w:i/>
          <w:iCs/>
        </w:rPr>
        <w:t>This is not the same as a de minimis for defining a complete inventory.</w:t>
      </w:r>
      <w:r w:rsidR="001359CB" w:rsidRPr="001359CB">
        <w:rPr>
          <w:rFonts w:ascii="Segoe UI" w:hAnsi="Segoe UI" w:cs="Segoe UI"/>
        </w:rPr>
        <w:t xml:space="preserve"> </w:t>
      </w:r>
      <w:proofErr w:type="gramStart"/>
      <w:r w:rsidR="001359CB" w:rsidRPr="001359CB">
        <w:rPr>
          <w:rFonts w:ascii="Segoe UI" w:hAnsi="Segoe UI" w:cs="Segoe UI"/>
        </w:rPr>
        <w:t>Instead</w:t>
      </w:r>
      <w:proofErr w:type="gramEnd"/>
      <w:r w:rsidR="001359CB" w:rsidRPr="001359CB">
        <w:rPr>
          <w:rFonts w:ascii="Segoe UI" w:hAnsi="Segoe UI" w:cs="Segoe UI"/>
        </w:rPr>
        <w:t xml:space="preserve"> companies need to make a good faith effort to provide a complete, accurate, and consistent accounting of their GHG emissions.</w:t>
      </w:r>
      <w:r w:rsidRPr="00EE7554">
        <w:rPr>
          <w:rFonts w:ascii="Segoe UI" w:hAnsi="Segoe UI" w:cs="Segoe UI"/>
        </w:rPr>
        <w:t>”</w:t>
      </w:r>
      <w:r w:rsidR="00EC03AD">
        <w:rPr>
          <w:rFonts w:ascii="Segoe UI" w:hAnsi="Segoe UI" w:cs="Segoe UI"/>
        </w:rPr>
        <w:t xml:space="preserve">  </w:t>
      </w:r>
    </w:p>
    <w:p w14:paraId="6C47D498" w14:textId="446E7AA0" w:rsidR="007C3A87" w:rsidRDefault="001359CB" w:rsidP="00122F67">
      <w:pPr>
        <w:spacing w:before="240" w:line="240" w:lineRule="auto"/>
        <w:rPr>
          <w:rFonts w:ascii="Segoe UI" w:hAnsi="Segoe UI" w:cs="Segoe UI"/>
        </w:rPr>
      </w:pPr>
      <w:r>
        <w:rPr>
          <w:rFonts w:ascii="Segoe UI" w:hAnsi="Segoe UI" w:cs="Segoe UI"/>
        </w:rPr>
        <w:lastRenderedPageBreak/>
        <w:t xml:space="preserve">In short, </w:t>
      </w:r>
      <w:r w:rsidR="00122F67">
        <w:rPr>
          <w:rFonts w:ascii="Segoe UI" w:hAnsi="Segoe UI" w:cs="Segoe UI"/>
        </w:rPr>
        <w:t>the GHG Protocol suggests a</w:t>
      </w:r>
      <w:r w:rsidR="00526BA6">
        <w:rPr>
          <w:rFonts w:ascii="Segoe UI" w:hAnsi="Segoe UI" w:cs="Segoe UI"/>
        </w:rPr>
        <w:t xml:space="preserve"> materiality threshold </w:t>
      </w:r>
      <w:r w:rsidR="00122F67">
        <w:rPr>
          <w:rFonts w:ascii="Segoe UI" w:hAnsi="Segoe UI" w:cs="Segoe UI"/>
        </w:rPr>
        <w:t xml:space="preserve">for </w:t>
      </w:r>
      <w:r w:rsidR="00526BA6">
        <w:rPr>
          <w:rFonts w:ascii="Segoe UI" w:hAnsi="Segoe UI" w:cs="Segoe UI"/>
        </w:rPr>
        <w:t xml:space="preserve">GHG verification to </w:t>
      </w:r>
      <w:r w:rsidR="00122F67">
        <w:rPr>
          <w:rFonts w:ascii="Segoe UI" w:hAnsi="Segoe UI" w:cs="Segoe UI"/>
        </w:rPr>
        <w:t>assess</w:t>
      </w:r>
      <w:r w:rsidR="00526BA6">
        <w:rPr>
          <w:rFonts w:ascii="Segoe UI" w:hAnsi="Segoe UI" w:cs="Segoe UI"/>
        </w:rPr>
        <w:t xml:space="preserve"> the magnitude of an error</w:t>
      </w:r>
      <w:r w:rsidR="00122F67">
        <w:rPr>
          <w:rFonts w:ascii="Segoe UI" w:hAnsi="Segoe UI" w:cs="Segoe UI"/>
        </w:rPr>
        <w:t xml:space="preserve">, but </w:t>
      </w:r>
      <w:r w:rsidR="00122F67" w:rsidRPr="00660A13">
        <w:rPr>
          <w:rFonts w:ascii="Segoe UI" w:hAnsi="Segoe UI" w:cs="Segoe UI"/>
        </w:rPr>
        <w:t>not in a GHG inventory preparation context</w:t>
      </w:r>
      <w:r w:rsidR="00122F67">
        <w:rPr>
          <w:rFonts w:ascii="Segoe UI" w:hAnsi="Segoe UI" w:cs="Segoe UI"/>
        </w:rPr>
        <w:t xml:space="preserve"> to omit known emission sources</w:t>
      </w:r>
      <w:r w:rsidR="00526BA6">
        <w:rPr>
          <w:rFonts w:ascii="Segoe UI" w:hAnsi="Segoe UI" w:cs="Segoe UI"/>
        </w:rPr>
        <w:t xml:space="preserve">.  </w:t>
      </w:r>
    </w:p>
    <w:p w14:paraId="192639D8" w14:textId="1050ACFA" w:rsidR="00122F67" w:rsidRPr="00122F67" w:rsidRDefault="00FE5C3C" w:rsidP="00122F67">
      <w:pPr>
        <w:spacing w:before="240" w:line="240" w:lineRule="auto"/>
        <w:rPr>
          <w:rFonts w:ascii="Segoe UI" w:hAnsi="Segoe UI" w:cs="Segoe UI"/>
        </w:rPr>
      </w:pPr>
      <w:r>
        <w:rPr>
          <w:rFonts w:ascii="Segoe UI" w:hAnsi="Segoe UI" w:cs="Segoe UI"/>
        </w:rPr>
        <w:t>Second</w:t>
      </w:r>
      <w:r w:rsidR="00122F67">
        <w:rPr>
          <w:rFonts w:ascii="Segoe UI" w:hAnsi="Segoe UI" w:cs="Segoe UI"/>
        </w:rPr>
        <w:t xml:space="preserve">, as we have mentioned in previous comment periods, </w:t>
      </w:r>
      <w:r w:rsidR="007C3A87">
        <w:rPr>
          <w:rFonts w:ascii="Segoe UI" w:hAnsi="Segoe UI" w:cs="Segoe UI"/>
        </w:rPr>
        <w:t xml:space="preserve">page 8 of </w:t>
      </w:r>
      <w:r w:rsidR="00122F67" w:rsidRPr="009E5822">
        <w:rPr>
          <w:rFonts w:ascii="Segoe UI" w:hAnsi="Segoe UI" w:cs="Segoe UI"/>
        </w:rPr>
        <w:t>GHG Protocol Corporate Standard</w:t>
      </w:r>
      <w:r w:rsidR="00122F67">
        <w:rPr>
          <w:rFonts w:ascii="Segoe UI" w:hAnsi="Segoe UI" w:cs="Segoe UI"/>
        </w:rPr>
        <w:t xml:space="preserve"> </w:t>
      </w:r>
      <w:r w:rsidR="00122F67" w:rsidRPr="009E5822">
        <w:rPr>
          <w:rFonts w:ascii="Segoe UI" w:hAnsi="Segoe UI" w:cs="Segoe UI"/>
        </w:rPr>
        <w:t xml:space="preserve">directly </w:t>
      </w:r>
      <w:r w:rsidR="006D013A">
        <w:rPr>
          <w:rFonts w:ascii="Segoe UI" w:hAnsi="Segoe UI" w:cs="Segoe UI"/>
        </w:rPr>
        <w:t xml:space="preserve">recommends against using </w:t>
      </w:r>
      <w:r w:rsidR="008328BC">
        <w:rPr>
          <w:rFonts w:ascii="Segoe UI" w:hAnsi="Segoe UI" w:cs="Segoe UI"/>
        </w:rPr>
        <w:t xml:space="preserve">“de minimis” / </w:t>
      </w:r>
      <w:r w:rsidR="006D013A">
        <w:rPr>
          <w:rFonts w:ascii="Segoe UI" w:hAnsi="Segoe UI" w:cs="Segoe UI"/>
        </w:rPr>
        <w:t>materiality thresholds</w:t>
      </w:r>
      <w:r w:rsidR="008328BC">
        <w:rPr>
          <w:rFonts w:ascii="Segoe UI" w:hAnsi="Segoe UI" w:cs="Segoe UI"/>
        </w:rPr>
        <w:t xml:space="preserve"> during GHG inventory preparation and knowingly excluding emission sources:</w:t>
      </w:r>
    </w:p>
    <w:p w14:paraId="6A85E1C4" w14:textId="77777777" w:rsidR="00122F67" w:rsidRDefault="00122F67" w:rsidP="00122F67">
      <w:pPr>
        <w:spacing w:before="60" w:line="240" w:lineRule="auto"/>
        <w:ind w:left="720"/>
        <w:rPr>
          <w:rFonts w:ascii="Segoe UI" w:hAnsi="Segoe UI" w:cs="Segoe UI"/>
        </w:rPr>
      </w:pPr>
      <w:r w:rsidRPr="009E5822">
        <w:rPr>
          <w:rFonts w:ascii="Segoe UI" w:hAnsi="Segoe UI" w:cs="Segoe UI"/>
        </w:rPr>
        <w:t xml:space="preserve">“Sometimes it is tempting to define a minimum emissions accounting threshold (often referred to as a materiality threshold) stating that a source not exceeding a certain size can be omitted from the inventory. Technically, such a threshold is simply a predefined and accepted negative bias in estimates (i.e., an underestimate). Although it appears useful in theory, the practical implementation of such a threshold is not compatible with the completeness principle of the GHG Protocol Corporate Standard. </w:t>
      </w:r>
      <w:proofErr w:type="gramStart"/>
      <w:r w:rsidRPr="009E5822">
        <w:rPr>
          <w:rFonts w:ascii="Segoe UI" w:hAnsi="Segoe UI" w:cs="Segoe UI"/>
        </w:rPr>
        <w:t>In order to</w:t>
      </w:r>
      <w:proofErr w:type="gramEnd"/>
      <w:r w:rsidRPr="009E5822">
        <w:rPr>
          <w:rFonts w:ascii="Segoe UI" w:hAnsi="Segoe UI" w:cs="Segoe UI"/>
        </w:rPr>
        <w:t xml:space="preserve"> utilize a materiality specification, the emissions from a particular source or activity would have to be quantified to ensure they were under the threshold. However, once emissions are quantified, most of the benefit of having a threshold is lost.”</w:t>
      </w:r>
    </w:p>
    <w:p w14:paraId="268679ED" w14:textId="0426DB8D" w:rsidR="00727DC8" w:rsidRPr="009E5822" w:rsidRDefault="004A33F8" w:rsidP="00D65DD3">
      <w:pPr>
        <w:spacing w:before="60" w:line="240" w:lineRule="auto"/>
        <w:rPr>
          <w:rFonts w:ascii="Segoe UI" w:hAnsi="Segoe UI" w:cs="Segoe UI"/>
        </w:rPr>
      </w:pPr>
      <w:r>
        <w:rPr>
          <w:rFonts w:ascii="Segoe UI" w:hAnsi="Segoe UI" w:cs="Segoe UI"/>
        </w:rPr>
        <w:t>In short, e</w:t>
      </w:r>
      <w:r w:rsidR="00D65DD3">
        <w:rPr>
          <w:rFonts w:ascii="Segoe UI" w:hAnsi="Segoe UI" w:cs="Segoe UI"/>
        </w:rPr>
        <w:t xml:space="preserve">xcluding an emission source violates the </w:t>
      </w:r>
      <w:r w:rsidR="00D65DD3" w:rsidRPr="009E5822">
        <w:rPr>
          <w:rFonts w:ascii="Segoe UI" w:hAnsi="Segoe UI" w:cs="Segoe UI"/>
        </w:rPr>
        <w:t>completeness principle of the GHG Protocol Corporate Standard</w:t>
      </w:r>
      <w:r w:rsidR="00D65DD3">
        <w:rPr>
          <w:rFonts w:ascii="Segoe UI" w:hAnsi="Segoe UI" w:cs="Segoe UI"/>
        </w:rPr>
        <w:t xml:space="preserve"> and is entirely different than </w:t>
      </w:r>
      <w:r w:rsidR="00EC41AC">
        <w:rPr>
          <w:rFonts w:ascii="Segoe UI" w:hAnsi="Segoe UI" w:cs="Segoe UI"/>
        </w:rPr>
        <w:t xml:space="preserve">setting a materiality threshold for error in GHG verification.  </w:t>
      </w:r>
    </w:p>
    <w:p w14:paraId="71A6242E" w14:textId="3161ECA3" w:rsidR="00D543AF" w:rsidRDefault="00D543AF" w:rsidP="00EC03AD">
      <w:pPr>
        <w:spacing w:before="240" w:line="240" w:lineRule="auto"/>
        <w:rPr>
          <w:rFonts w:ascii="Segoe UI" w:hAnsi="Segoe UI" w:cs="Segoe UI"/>
          <w:b/>
          <w:bCs/>
        </w:rPr>
      </w:pPr>
      <w:r>
        <w:rPr>
          <w:rFonts w:ascii="Segoe UI" w:hAnsi="Segoe UI" w:cs="Segoe UI"/>
          <w:b/>
          <w:bCs/>
        </w:rPr>
        <w:t xml:space="preserve">Reporting Template </w:t>
      </w:r>
      <w:r>
        <w:rPr>
          <w:rFonts w:ascii="Segoe UI" w:hAnsi="Segoe UI" w:cs="Segoe UI"/>
          <w:b/>
          <w:bCs/>
        </w:rPr>
        <w:t>“Form” Sheet</w:t>
      </w:r>
      <w:r w:rsidR="00AC153F">
        <w:rPr>
          <w:rFonts w:ascii="Segoe UI" w:hAnsi="Segoe UI" w:cs="Segoe UI"/>
          <w:b/>
          <w:bCs/>
        </w:rPr>
        <w:t xml:space="preserve"> – Rows 78-93 “Base Year”</w:t>
      </w:r>
    </w:p>
    <w:p w14:paraId="32210593" w14:textId="235BB6FD" w:rsidR="00AC153F" w:rsidRDefault="00AC153F" w:rsidP="00AC153F">
      <w:pPr>
        <w:spacing w:before="240" w:line="240" w:lineRule="auto"/>
        <w:rPr>
          <w:rFonts w:ascii="Segoe UI" w:hAnsi="Segoe UI" w:cs="Segoe UI"/>
        </w:rPr>
      </w:pPr>
      <w:r>
        <w:rPr>
          <w:rFonts w:ascii="Segoe UI" w:hAnsi="Segoe UI" w:cs="Segoe UI"/>
        </w:rPr>
        <w:t xml:space="preserve">We recommend that CARB requires </w:t>
      </w:r>
      <w:r>
        <w:rPr>
          <w:rFonts w:ascii="Segoe UI" w:hAnsi="Segoe UI" w:cs="Segoe UI"/>
        </w:rPr>
        <w:t xml:space="preserve">Base Year reporting in </w:t>
      </w:r>
      <w:proofErr w:type="spellStart"/>
      <w:r>
        <w:rPr>
          <w:rFonts w:ascii="Segoe UI" w:hAnsi="Segoe UI" w:cs="Segoe UI"/>
        </w:rPr>
        <w:t>the</w:t>
      </w:r>
      <w:proofErr w:type="spellEnd"/>
      <w:r>
        <w:rPr>
          <w:rFonts w:ascii="Segoe UI" w:hAnsi="Segoe UI" w:cs="Segoe UI"/>
        </w:rPr>
        <w:t xml:space="preserve"> </w:t>
      </w:r>
      <w:r>
        <w:rPr>
          <w:rFonts w:ascii="Segoe UI" w:hAnsi="Segoe UI" w:cs="Segoe UI"/>
        </w:rPr>
        <w:t xml:space="preserve">Template, rather than including as optional, to be consistent with the GHG Protocol </w:t>
      </w:r>
      <w:r w:rsidRPr="009E5822">
        <w:rPr>
          <w:rFonts w:ascii="Segoe UI" w:hAnsi="Segoe UI" w:cs="Segoe UI"/>
        </w:rPr>
        <w:t>Corporate Standard</w:t>
      </w:r>
      <w:r>
        <w:rPr>
          <w:rFonts w:ascii="Segoe UI" w:hAnsi="Segoe UI" w:cs="Segoe UI"/>
        </w:rPr>
        <w:t xml:space="preserve"> </w:t>
      </w:r>
      <w:r w:rsidR="00A10ACC">
        <w:rPr>
          <w:rFonts w:ascii="Segoe UI" w:hAnsi="Segoe UI" w:cs="Segoe UI"/>
        </w:rPr>
        <w:t xml:space="preserve">reporting </w:t>
      </w:r>
      <w:r w:rsidR="004A33F8">
        <w:rPr>
          <w:rFonts w:ascii="Segoe UI" w:hAnsi="Segoe UI" w:cs="Segoe UI"/>
        </w:rPr>
        <w:t xml:space="preserve">requirements listed </w:t>
      </w:r>
      <w:r>
        <w:rPr>
          <w:rFonts w:ascii="Segoe UI" w:hAnsi="Segoe UI" w:cs="Segoe UI"/>
        </w:rPr>
        <w:t>on page 63:</w:t>
      </w:r>
    </w:p>
    <w:p w14:paraId="2944092E" w14:textId="406985E0" w:rsidR="00AC153F" w:rsidRDefault="00AC153F" w:rsidP="00AC153F">
      <w:pPr>
        <w:spacing w:before="240" w:line="240" w:lineRule="auto"/>
        <w:ind w:left="720"/>
        <w:rPr>
          <w:rFonts w:ascii="Segoe UI" w:hAnsi="Segoe UI" w:cs="Segoe UI"/>
        </w:rPr>
      </w:pPr>
      <w:r>
        <w:rPr>
          <w:rFonts w:ascii="Segoe UI" w:hAnsi="Segoe UI" w:cs="Segoe UI"/>
        </w:rPr>
        <w:t>“</w:t>
      </w:r>
      <w:r w:rsidR="00C74752" w:rsidRPr="00C74752">
        <w:rPr>
          <w:rFonts w:ascii="Segoe UI" w:hAnsi="Segoe UI" w:cs="Segoe UI"/>
        </w:rPr>
        <w:t>Year chosen as base year, and an emissions profile over time that is consistent with and clarifies the chosen policy for making base year emissions recalculations</w:t>
      </w:r>
      <w:r>
        <w:rPr>
          <w:rFonts w:ascii="Segoe UI" w:hAnsi="Segoe UI" w:cs="Segoe UI"/>
        </w:rPr>
        <w:t>”</w:t>
      </w:r>
    </w:p>
    <w:p w14:paraId="219BFAEA" w14:textId="30F5DD92" w:rsidR="003F1EBB" w:rsidRDefault="003A01A6" w:rsidP="003A01A6">
      <w:pPr>
        <w:spacing w:before="240" w:line="240" w:lineRule="auto"/>
        <w:rPr>
          <w:rFonts w:ascii="Segoe UI" w:hAnsi="Segoe UI" w:cs="Segoe UI"/>
        </w:rPr>
      </w:pPr>
      <w:r>
        <w:rPr>
          <w:rFonts w:ascii="Segoe UI" w:hAnsi="Segoe UI" w:cs="Segoe UI"/>
        </w:rPr>
        <w:t xml:space="preserve">The Protocol also goes on to </w:t>
      </w:r>
      <w:r w:rsidR="003F1EBB">
        <w:rPr>
          <w:rFonts w:ascii="Segoe UI" w:hAnsi="Segoe UI" w:cs="Segoe UI"/>
        </w:rPr>
        <w:t>require:</w:t>
      </w:r>
    </w:p>
    <w:p w14:paraId="75C40A1B" w14:textId="48677B03" w:rsidR="003F1EBB" w:rsidRDefault="003F1EBB" w:rsidP="003F1EBB">
      <w:pPr>
        <w:spacing w:before="240" w:line="240" w:lineRule="auto"/>
        <w:ind w:left="720"/>
        <w:rPr>
          <w:rFonts w:ascii="Segoe UI" w:hAnsi="Segoe UI" w:cs="Segoe UI"/>
        </w:rPr>
      </w:pPr>
      <w:r>
        <w:rPr>
          <w:rFonts w:ascii="Segoe UI" w:hAnsi="Segoe UI" w:cs="Segoe UI"/>
        </w:rPr>
        <w:t>“</w:t>
      </w:r>
      <w:r w:rsidRPr="003F1EBB">
        <w:rPr>
          <w:rFonts w:ascii="Segoe UI" w:hAnsi="Segoe UI" w:cs="Segoe UI"/>
        </w:rPr>
        <w:t>Appropriate context for any significant emissions changes that trigger base year emissions recalculation (acquisitions/divestitures, outsourcing/insourcing, changes in reporting boundaries or calculation methodologies, etc.)</w:t>
      </w:r>
      <w:r>
        <w:rPr>
          <w:rFonts w:ascii="Segoe UI" w:hAnsi="Segoe UI" w:cs="Segoe UI"/>
        </w:rPr>
        <w:t>”</w:t>
      </w:r>
    </w:p>
    <w:p w14:paraId="6D4D2044" w14:textId="6EC8AA2A" w:rsidR="003F1EBB" w:rsidRPr="00AC153F" w:rsidRDefault="00242B8E" w:rsidP="003F1EBB">
      <w:pPr>
        <w:spacing w:before="240" w:line="240" w:lineRule="auto"/>
        <w:rPr>
          <w:rFonts w:ascii="Segoe UI" w:hAnsi="Segoe UI" w:cs="Segoe UI"/>
        </w:rPr>
      </w:pPr>
      <w:r>
        <w:rPr>
          <w:rFonts w:ascii="Segoe UI" w:hAnsi="Segoe UI" w:cs="Segoe UI"/>
        </w:rPr>
        <w:t>Therefore, w</w:t>
      </w:r>
      <w:r w:rsidR="003F1EBB">
        <w:rPr>
          <w:rFonts w:ascii="Segoe UI" w:hAnsi="Segoe UI" w:cs="Segoe UI"/>
        </w:rPr>
        <w:t xml:space="preserve">e recommend that CARB also </w:t>
      </w:r>
      <w:r w:rsidR="00002A6C">
        <w:rPr>
          <w:rFonts w:ascii="Segoe UI" w:hAnsi="Segoe UI" w:cs="Segoe UI"/>
        </w:rPr>
        <w:t xml:space="preserve">requires </w:t>
      </w:r>
      <w:r w:rsidR="003F1EBB">
        <w:rPr>
          <w:rFonts w:ascii="Segoe UI" w:hAnsi="Segoe UI" w:cs="Segoe UI"/>
        </w:rPr>
        <w:t xml:space="preserve">upfront </w:t>
      </w:r>
      <w:r w:rsidR="00002A6C">
        <w:rPr>
          <w:rFonts w:ascii="Segoe UI" w:hAnsi="Segoe UI" w:cs="Segoe UI"/>
        </w:rPr>
        <w:t xml:space="preserve">base year recalculation </w:t>
      </w:r>
      <w:r w:rsidR="003F1EBB">
        <w:rPr>
          <w:rFonts w:ascii="Segoe UI" w:hAnsi="Segoe UI" w:cs="Segoe UI"/>
        </w:rPr>
        <w:t xml:space="preserve">policy </w:t>
      </w:r>
      <w:r w:rsidR="00002A6C">
        <w:rPr>
          <w:rFonts w:ascii="Segoe UI" w:hAnsi="Segoe UI" w:cs="Segoe UI"/>
        </w:rPr>
        <w:t xml:space="preserve">disclosure, </w:t>
      </w:r>
      <w:r w:rsidR="00C8103E">
        <w:rPr>
          <w:rFonts w:ascii="Segoe UI" w:hAnsi="Segoe UI" w:cs="Segoe UI"/>
        </w:rPr>
        <w:t>in addition to</w:t>
      </w:r>
      <w:r w:rsidR="00002A6C">
        <w:rPr>
          <w:rFonts w:ascii="Segoe UI" w:hAnsi="Segoe UI" w:cs="Segoe UI"/>
        </w:rPr>
        <w:t xml:space="preserve"> asking for an after-the-fact “</w:t>
      </w:r>
      <w:r>
        <w:rPr>
          <w:rFonts w:ascii="Segoe UI" w:hAnsi="Segoe UI" w:cs="Segoe UI"/>
        </w:rPr>
        <w:t>If</w:t>
      </w:r>
      <w:r w:rsidRPr="00242B8E">
        <w:rPr>
          <w:rFonts w:ascii="Segoe UI" w:hAnsi="Segoe UI" w:cs="Segoe UI"/>
        </w:rPr>
        <w:t xml:space="preserve"> the base year changed from the previous year</w:t>
      </w:r>
      <w:r>
        <w:rPr>
          <w:rFonts w:ascii="Segoe UI" w:hAnsi="Segoe UI" w:cs="Segoe UI"/>
        </w:rPr>
        <w:t>…” disclosure to align with GHG Protocol requirements.</w:t>
      </w:r>
    </w:p>
    <w:p w14:paraId="45B6D503" w14:textId="77777777" w:rsidR="00C8103E" w:rsidRDefault="00C8103E" w:rsidP="00EC03AD">
      <w:pPr>
        <w:spacing w:before="240" w:line="240" w:lineRule="auto"/>
        <w:rPr>
          <w:rFonts w:ascii="Segoe UI" w:hAnsi="Segoe UI" w:cs="Segoe UI"/>
          <w:b/>
          <w:bCs/>
        </w:rPr>
      </w:pPr>
    </w:p>
    <w:p w14:paraId="0C6BA601" w14:textId="77777777" w:rsidR="00C8103E" w:rsidRDefault="00C8103E" w:rsidP="00EC03AD">
      <w:pPr>
        <w:spacing w:before="240" w:line="240" w:lineRule="auto"/>
        <w:rPr>
          <w:rFonts w:ascii="Segoe UI" w:hAnsi="Segoe UI" w:cs="Segoe UI"/>
          <w:b/>
          <w:bCs/>
        </w:rPr>
      </w:pPr>
    </w:p>
    <w:p w14:paraId="01976E83" w14:textId="1216B6B3" w:rsidR="00ED594A" w:rsidRDefault="00ED594A" w:rsidP="00EC03AD">
      <w:pPr>
        <w:spacing w:before="240" w:line="240" w:lineRule="auto"/>
        <w:rPr>
          <w:rFonts w:ascii="Segoe UI" w:hAnsi="Segoe UI" w:cs="Segoe UI"/>
          <w:b/>
          <w:bCs/>
        </w:rPr>
      </w:pPr>
      <w:r>
        <w:rPr>
          <w:rFonts w:ascii="Segoe UI" w:hAnsi="Segoe UI" w:cs="Segoe UI"/>
          <w:b/>
          <w:bCs/>
        </w:rPr>
        <w:t xml:space="preserve">Reporting Template “Form” Sheet – Rows </w:t>
      </w:r>
      <w:r>
        <w:rPr>
          <w:rFonts w:ascii="Segoe UI" w:hAnsi="Segoe UI" w:cs="Segoe UI"/>
          <w:b/>
          <w:bCs/>
        </w:rPr>
        <w:t>97-110 “Reporting by CO</w:t>
      </w:r>
      <w:r w:rsidRPr="00ED594A">
        <w:rPr>
          <w:rFonts w:ascii="Segoe UI" w:hAnsi="Segoe UI" w:cs="Segoe UI"/>
          <w:b/>
          <w:bCs/>
          <w:vertAlign w:val="subscript"/>
        </w:rPr>
        <w:t>2</w:t>
      </w:r>
      <w:r>
        <w:rPr>
          <w:rFonts w:ascii="Segoe UI" w:hAnsi="Segoe UI" w:cs="Segoe UI"/>
          <w:b/>
          <w:bCs/>
        </w:rPr>
        <w:t>e gases”</w:t>
      </w:r>
    </w:p>
    <w:p w14:paraId="5850415D" w14:textId="4AF40915" w:rsidR="00212455" w:rsidRDefault="00537B8F" w:rsidP="00212455">
      <w:pPr>
        <w:spacing w:before="240" w:line="240" w:lineRule="auto"/>
        <w:rPr>
          <w:rFonts w:ascii="Segoe UI" w:hAnsi="Segoe UI" w:cs="Segoe UI"/>
        </w:rPr>
      </w:pPr>
      <w:r>
        <w:rPr>
          <w:rFonts w:ascii="Segoe UI" w:hAnsi="Segoe UI" w:cs="Segoe UI"/>
        </w:rPr>
        <w:t xml:space="preserve">We recommend that </w:t>
      </w:r>
      <w:r w:rsidR="008C7090">
        <w:rPr>
          <w:rFonts w:ascii="Segoe UI" w:hAnsi="Segoe UI" w:cs="Segoe UI"/>
        </w:rPr>
        <w:t xml:space="preserve">CARB requires </w:t>
      </w:r>
      <w:r>
        <w:rPr>
          <w:rFonts w:ascii="Segoe UI" w:hAnsi="Segoe UI" w:cs="Segoe UI"/>
        </w:rPr>
        <w:t>s</w:t>
      </w:r>
      <w:r w:rsidR="00ED594A">
        <w:rPr>
          <w:rFonts w:ascii="Segoe UI" w:hAnsi="Segoe UI" w:cs="Segoe UI"/>
        </w:rPr>
        <w:t xml:space="preserve">eparate reporting by </w:t>
      </w:r>
      <w:r w:rsidR="008C7090">
        <w:rPr>
          <w:rFonts w:ascii="Segoe UI" w:hAnsi="Segoe UI" w:cs="Segoe UI"/>
        </w:rPr>
        <w:t xml:space="preserve">each of the six </w:t>
      </w:r>
      <w:r w:rsidR="00ED594A">
        <w:rPr>
          <w:rFonts w:ascii="Segoe UI" w:hAnsi="Segoe UI" w:cs="Segoe UI"/>
        </w:rPr>
        <w:t>GHG</w:t>
      </w:r>
      <w:r w:rsidR="008C7090">
        <w:rPr>
          <w:rFonts w:ascii="Segoe UI" w:hAnsi="Segoe UI" w:cs="Segoe UI"/>
        </w:rPr>
        <w:t>s</w:t>
      </w:r>
      <w:r>
        <w:rPr>
          <w:rFonts w:ascii="Segoe UI" w:hAnsi="Segoe UI" w:cs="Segoe UI"/>
        </w:rPr>
        <w:t xml:space="preserve"> in the Template, rather than </w:t>
      </w:r>
      <w:r w:rsidR="00591EC3">
        <w:rPr>
          <w:rFonts w:ascii="Segoe UI" w:hAnsi="Segoe UI" w:cs="Segoe UI"/>
        </w:rPr>
        <w:t xml:space="preserve">including as </w:t>
      </w:r>
      <w:r>
        <w:rPr>
          <w:rFonts w:ascii="Segoe UI" w:hAnsi="Segoe UI" w:cs="Segoe UI"/>
        </w:rPr>
        <w:t>optio</w:t>
      </w:r>
      <w:r w:rsidR="0048293B">
        <w:rPr>
          <w:rFonts w:ascii="Segoe UI" w:hAnsi="Segoe UI" w:cs="Segoe UI"/>
        </w:rPr>
        <w:t>n</w:t>
      </w:r>
      <w:r w:rsidR="00660A13">
        <w:rPr>
          <w:rFonts w:ascii="Segoe UI" w:hAnsi="Segoe UI" w:cs="Segoe UI"/>
        </w:rPr>
        <w:t>al</w:t>
      </w:r>
      <w:r w:rsidR="0048293B">
        <w:rPr>
          <w:rFonts w:ascii="Segoe UI" w:hAnsi="Segoe UI" w:cs="Segoe UI"/>
        </w:rPr>
        <w:t>,</w:t>
      </w:r>
      <w:r w:rsidR="00212455">
        <w:rPr>
          <w:rFonts w:ascii="Segoe UI" w:hAnsi="Segoe UI" w:cs="Segoe UI"/>
        </w:rPr>
        <w:t xml:space="preserve"> </w:t>
      </w:r>
      <w:r w:rsidR="00591EC3">
        <w:rPr>
          <w:rFonts w:ascii="Segoe UI" w:hAnsi="Segoe UI" w:cs="Segoe UI"/>
        </w:rPr>
        <w:t>to be consistent with the</w:t>
      </w:r>
      <w:r w:rsidR="00212455">
        <w:rPr>
          <w:rFonts w:ascii="Segoe UI" w:hAnsi="Segoe UI" w:cs="Segoe UI"/>
        </w:rPr>
        <w:t xml:space="preserve"> </w:t>
      </w:r>
      <w:r w:rsidR="00A10ACC">
        <w:rPr>
          <w:rFonts w:ascii="Segoe UI" w:hAnsi="Segoe UI" w:cs="Segoe UI"/>
        </w:rPr>
        <w:t xml:space="preserve">GHG Protocol </w:t>
      </w:r>
      <w:r w:rsidR="00A10ACC" w:rsidRPr="009E5822">
        <w:rPr>
          <w:rFonts w:ascii="Segoe UI" w:hAnsi="Segoe UI" w:cs="Segoe UI"/>
        </w:rPr>
        <w:t>Corporate Standard</w:t>
      </w:r>
      <w:r w:rsidR="00A10ACC">
        <w:rPr>
          <w:rFonts w:ascii="Segoe UI" w:hAnsi="Segoe UI" w:cs="Segoe UI"/>
        </w:rPr>
        <w:t xml:space="preserve"> reporting requirements listed on page 63</w:t>
      </w:r>
      <w:r w:rsidR="0048293B">
        <w:rPr>
          <w:rFonts w:ascii="Segoe UI" w:hAnsi="Segoe UI" w:cs="Segoe UI"/>
        </w:rPr>
        <w:t>:</w:t>
      </w:r>
    </w:p>
    <w:p w14:paraId="19ECCF2D" w14:textId="72E150D0" w:rsidR="00ED594A" w:rsidRDefault="00212455" w:rsidP="0048293B">
      <w:pPr>
        <w:spacing w:before="240" w:line="240" w:lineRule="auto"/>
        <w:ind w:left="720"/>
        <w:rPr>
          <w:rFonts w:ascii="Segoe UI" w:hAnsi="Segoe UI" w:cs="Segoe UI"/>
        </w:rPr>
      </w:pPr>
      <w:r>
        <w:rPr>
          <w:rFonts w:ascii="Segoe UI" w:hAnsi="Segoe UI" w:cs="Segoe UI"/>
        </w:rPr>
        <w:t>“</w:t>
      </w:r>
      <w:r w:rsidRPr="00212455">
        <w:rPr>
          <w:rFonts w:ascii="Segoe UI" w:hAnsi="Segoe UI" w:cs="Segoe UI"/>
        </w:rPr>
        <w:t xml:space="preserve">Emissions data for all six GHGs separately (CO2, CH4, N2O, HFCs, PFCs, SF6) in metric </w:t>
      </w:r>
      <w:proofErr w:type="spellStart"/>
      <w:r w:rsidRPr="00212455">
        <w:rPr>
          <w:rFonts w:ascii="Segoe UI" w:hAnsi="Segoe UI" w:cs="Segoe UI"/>
        </w:rPr>
        <w:t>tonnes</w:t>
      </w:r>
      <w:proofErr w:type="spellEnd"/>
      <w:r w:rsidRPr="00212455">
        <w:rPr>
          <w:rFonts w:ascii="Segoe UI" w:hAnsi="Segoe UI" w:cs="Segoe UI"/>
        </w:rPr>
        <w:t xml:space="preserve"> and in </w:t>
      </w:r>
      <w:proofErr w:type="spellStart"/>
      <w:r w:rsidRPr="00212455">
        <w:rPr>
          <w:rFonts w:ascii="Segoe UI" w:hAnsi="Segoe UI" w:cs="Segoe UI"/>
        </w:rPr>
        <w:t>tonnes</w:t>
      </w:r>
      <w:proofErr w:type="spellEnd"/>
      <w:r w:rsidRPr="00212455">
        <w:rPr>
          <w:rFonts w:ascii="Segoe UI" w:hAnsi="Segoe UI" w:cs="Segoe UI"/>
        </w:rPr>
        <w:t xml:space="preserve"> of CO2 equivalent</w:t>
      </w:r>
      <w:r>
        <w:rPr>
          <w:rFonts w:ascii="Segoe UI" w:hAnsi="Segoe UI" w:cs="Segoe UI"/>
        </w:rPr>
        <w:t>”</w:t>
      </w:r>
    </w:p>
    <w:p w14:paraId="042D4E84" w14:textId="2FA4A6A9" w:rsidR="00D22ABB" w:rsidRDefault="007354EF" w:rsidP="00D22ABB">
      <w:pPr>
        <w:spacing w:before="240" w:line="240" w:lineRule="auto"/>
        <w:rPr>
          <w:rFonts w:ascii="Segoe UI" w:hAnsi="Segoe UI" w:cs="Segoe UI"/>
          <w:b/>
          <w:bCs/>
        </w:rPr>
      </w:pPr>
      <w:r w:rsidRPr="007354EF">
        <w:rPr>
          <w:rFonts w:ascii="Segoe UI" w:hAnsi="Segoe UI" w:cs="Segoe UI"/>
          <w:b/>
          <w:bCs/>
        </w:rPr>
        <w:t>Memo Question #2</w:t>
      </w:r>
      <w:r>
        <w:rPr>
          <w:rFonts w:ascii="Segoe UI" w:hAnsi="Segoe UI" w:cs="Segoe UI"/>
          <w:b/>
          <w:bCs/>
        </w:rPr>
        <w:t xml:space="preserve"> </w:t>
      </w:r>
      <w:r w:rsidR="008C7090">
        <w:rPr>
          <w:rFonts w:ascii="Segoe UI" w:hAnsi="Segoe UI" w:cs="Segoe UI"/>
          <w:b/>
          <w:bCs/>
        </w:rPr>
        <w:t>–</w:t>
      </w:r>
      <w:r>
        <w:rPr>
          <w:rFonts w:ascii="Segoe UI" w:hAnsi="Segoe UI" w:cs="Segoe UI"/>
          <w:b/>
          <w:bCs/>
        </w:rPr>
        <w:t xml:space="preserve"> </w:t>
      </w:r>
      <w:r w:rsidR="008C7090">
        <w:rPr>
          <w:rFonts w:ascii="Segoe UI" w:hAnsi="Segoe UI" w:cs="Segoe UI"/>
          <w:b/>
          <w:bCs/>
        </w:rPr>
        <w:t>“Organizational Boundaries”</w:t>
      </w:r>
    </w:p>
    <w:p w14:paraId="7173F59E" w14:textId="590B7CD0" w:rsidR="008C7090" w:rsidRDefault="008C7090" w:rsidP="00D22ABB">
      <w:pPr>
        <w:spacing w:before="240" w:line="240" w:lineRule="auto"/>
        <w:rPr>
          <w:rFonts w:ascii="Segoe UI" w:hAnsi="Segoe UI" w:cs="Segoe UI"/>
        </w:rPr>
      </w:pPr>
      <w:r>
        <w:rPr>
          <w:rFonts w:ascii="Segoe UI" w:hAnsi="Segoe UI" w:cs="Segoe UI"/>
        </w:rPr>
        <w:t xml:space="preserve">We recommend that CARB defers to the GHG Protocol Corporate Standard and allows for </w:t>
      </w:r>
      <w:r w:rsidR="00B67434">
        <w:rPr>
          <w:rFonts w:ascii="Segoe UI" w:hAnsi="Segoe UI" w:cs="Segoe UI"/>
        </w:rPr>
        <w:t>any</w:t>
      </w:r>
      <w:r>
        <w:rPr>
          <w:rFonts w:ascii="Segoe UI" w:hAnsi="Segoe UI" w:cs="Segoe UI"/>
        </w:rPr>
        <w:t xml:space="preserve"> of the three </w:t>
      </w:r>
      <w:r w:rsidR="00B67434">
        <w:rPr>
          <w:rFonts w:ascii="Segoe UI" w:hAnsi="Segoe UI" w:cs="Segoe UI"/>
        </w:rPr>
        <w:t>approaches used to define organizational boundaries</w:t>
      </w:r>
      <w:r w:rsidR="00C20E83">
        <w:rPr>
          <w:rFonts w:ascii="Segoe UI" w:hAnsi="Segoe UI" w:cs="Segoe UI"/>
        </w:rPr>
        <w:t xml:space="preserve"> – equity share, financial control, or operational control</w:t>
      </w:r>
      <w:r w:rsidR="00B67434">
        <w:rPr>
          <w:rFonts w:ascii="Segoe UI" w:hAnsi="Segoe UI" w:cs="Segoe UI"/>
        </w:rPr>
        <w:t>.</w:t>
      </w:r>
      <w:r w:rsidR="006C49C2">
        <w:rPr>
          <w:rFonts w:ascii="Segoe UI" w:hAnsi="Segoe UI" w:cs="Segoe UI"/>
        </w:rPr>
        <w:t xml:space="preserve">  We recommend that CARB requires covered entities to explain any changes in control approach over time.</w:t>
      </w:r>
    </w:p>
    <w:p w14:paraId="70920CED" w14:textId="114E78A2" w:rsidR="006C49C2" w:rsidRDefault="006C49C2" w:rsidP="00D22ABB">
      <w:pPr>
        <w:spacing w:before="240" w:line="240" w:lineRule="auto"/>
        <w:rPr>
          <w:rFonts w:ascii="Segoe UI" w:hAnsi="Segoe UI" w:cs="Segoe UI"/>
          <w:b/>
          <w:bCs/>
        </w:rPr>
      </w:pPr>
      <w:r w:rsidRPr="00E94EBC">
        <w:rPr>
          <w:rFonts w:ascii="Segoe UI" w:hAnsi="Segoe UI" w:cs="Segoe UI"/>
          <w:b/>
          <w:bCs/>
        </w:rPr>
        <w:t xml:space="preserve">Memo Question #3 </w:t>
      </w:r>
      <w:r w:rsidR="00E94EBC" w:rsidRPr="00E94EBC">
        <w:rPr>
          <w:rFonts w:ascii="Segoe UI" w:hAnsi="Segoe UI" w:cs="Segoe UI"/>
          <w:b/>
          <w:bCs/>
        </w:rPr>
        <w:t>–</w:t>
      </w:r>
      <w:r w:rsidRPr="00E94EBC">
        <w:rPr>
          <w:rFonts w:ascii="Segoe UI" w:hAnsi="Segoe UI" w:cs="Segoe UI"/>
          <w:b/>
          <w:bCs/>
        </w:rPr>
        <w:t xml:space="preserve"> </w:t>
      </w:r>
      <w:r w:rsidR="00E94EBC" w:rsidRPr="00E94EBC">
        <w:rPr>
          <w:rFonts w:ascii="Segoe UI" w:hAnsi="Segoe UI" w:cs="Segoe UI"/>
          <w:b/>
          <w:bCs/>
        </w:rPr>
        <w:t>“Emission Reduction Initiatives”</w:t>
      </w:r>
    </w:p>
    <w:p w14:paraId="617739FE" w14:textId="77777777" w:rsidR="00E46C39" w:rsidRDefault="009A5920" w:rsidP="00D22ABB">
      <w:pPr>
        <w:spacing w:before="240" w:line="240" w:lineRule="auto"/>
        <w:rPr>
          <w:rFonts w:ascii="Segoe UI" w:hAnsi="Segoe UI" w:cs="Segoe UI"/>
        </w:rPr>
      </w:pPr>
      <w:r>
        <w:rPr>
          <w:rFonts w:ascii="Segoe UI" w:hAnsi="Segoe UI" w:cs="Segoe UI"/>
        </w:rPr>
        <w:t>For rows 7</w:t>
      </w:r>
      <w:r w:rsidR="00C6503A">
        <w:rPr>
          <w:rFonts w:ascii="Segoe UI" w:hAnsi="Segoe UI" w:cs="Segoe UI"/>
        </w:rPr>
        <w:t xml:space="preserve">2-75 in the </w:t>
      </w:r>
      <w:r w:rsidR="00C6503A" w:rsidRPr="00C6503A">
        <w:rPr>
          <w:rFonts w:ascii="Segoe UI" w:hAnsi="Segoe UI" w:cs="Segoe UI"/>
        </w:rPr>
        <w:t>Reporting Template “Form” Sheet</w:t>
      </w:r>
      <w:r w:rsidR="00C6503A">
        <w:rPr>
          <w:rFonts w:ascii="Segoe UI" w:hAnsi="Segoe UI" w:cs="Segoe UI"/>
        </w:rPr>
        <w:t>, we are requesting clarity from CARB regarding the purpose of including these fields</w:t>
      </w:r>
      <w:r w:rsidR="004D77EE">
        <w:rPr>
          <w:rFonts w:ascii="Segoe UI" w:hAnsi="Segoe UI" w:cs="Segoe UI"/>
        </w:rPr>
        <w:t xml:space="preserve">.  Are these fields meant to explain calculations above </w:t>
      </w:r>
      <w:r w:rsidR="007C2F6A">
        <w:rPr>
          <w:rFonts w:ascii="Segoe UI" w:hAnsi="Segoe UI" w:cs="Segoe UI"/>
        </w:rPr>
        <w:t>(i.e.,</w:t>
      </w:r>
      <w:r w:rsidR="00B249B3">
        <w:rPr>
          <w:rFonts w:ascii="Segoe UI" w:hAnsi="Segoe UI" w:cs="Segoe UI"/>
        </w:rPr>
        <w:t xml:space="preserve"> contextualize</w:t>
      </w:r>
      <w:r w:rsidR="007C2F6A">
        <w:rPr>
          <w:rFonts w:ascii="Segoe UI" w:hAnsi="Segoe UI" w:cs="Segoe UI"/>
        </w:rPr>
        <w:t xml:space="preserve"> </w:t>
      </w:r>
      <w:r w:rsidR="00FC2EB9">
        <w:rPr>
          <w:rFonts w:ascii="Segoe UI" w:hAnsi="Segoe UI" w:cs="Segoe UI"/>
        </w:rPr>
        <w:t xml:space="preserve">scope 2 emissions </w:t>
      </w:r>
      <w:r w:rsidR="00B249B3">
        <w:rPr>
          <w:rFonts w:ascii="Segoe UI" w:hAnsi="Segoe UI" w:cs="Segoe UI"/>
        </w:rPr>
        <w:t>values)</w:t>
      </w:r>
      <w:r w:rsidR="004D77EE">
        <w:rPr>
          <w:rFonts w:ascii="Segoe UI" w:hAnsi="Segoe UI" w:cs="Segoe UI"/>
        </w:rPr>
        <w:t>?</w:t>
      </w:r>
      <w:r w:rsidR="008856E7">
        <w:rPr>
          <w:rFonts w:ascii="Segoe UI" w:hAnsi="Segoe UI" w:cs="Segoe UI"/>
        </w:rPr>
        <w:t xml:space="preserve">  </w:t>
      </w:r>
      <w:r w:rsidR="00E46C39">
        <w:rPr>
          <w:rFonts w:ascii="Segoe UI" w:hAnsi="Segoe UI" w:cs="Segoe UI"/>
        </w:rPr>
        <w:t xml:space="preserve">Or is CARB implying through these fields that emission reductions may be required in the future? </w:t>
      </w:r>
    </w:p>
    <w:p w14:paraId="41E1BA2A" w14:textId="1151CBF2" w:rsidR="00E46C39" w:rsidRPr="00E94EBC" w:rsidRDefault="00E46C39" w:rsidP="00D22ABB">
      <w:pPr>
        <w:spacing w:before="240" w:line="240" w:lineRule="auto"/>
        <w:rPr>
          <w:rFonts w:ascii="Segoe UI" w:hAnsi="Segoe UI" w:cs="Segoe UI"/>
        </w:rPr>
      </w:pPr>
      <w:r>
        <w:rPr>
          <w:rFonts w:ascii="Segoe UI" w:hAnsi="Segoe UI" w:cs="Segoe UI"/>
        </w:rPr>
        <w:t>Separately, h</w:t>
      </w:r>
      <w:r w:rsidR="005F119E">
        <w:rPr>
          <w:rFonts w:ascii="Segoe UI" w:hAnsi="Segoe UI" w:cs="Segoe UI"/>
        </w:rPr>
        <w:t xml:space="preserve">ow is CARB navigating the proposed GHG Protocol scope 2 changes that may affect </w:t>
      </w:r>
      <w:r w:rsidR="00F96C78">
        <w:rPr>
          <w:rFonts w:ascii="Segoe UI" w:hAnsi="Segoe UI" w:cs="Segoe UI"/>
        </w:rPr>
        <w:t xml:space="preserve">the ability to apply </w:t>
      </w:r>
      <w:r w:rsidR="00F96C78" w:rsidRPr="00F96C78">
        <w:rPr>
          <w:rFonts w:ascii="Segoe UI" w:hAnsi="Segoe UI" w:cs="Segoe UI"/>
        </w:rPr>
        <w:t>energy attribute certificates (EACs</w:t>
      </w:r>
      <w:r w:rsidR="00F96C78">
        <w:rPr>
          <w:rFonts w:ascii="Segoe UI" w:hAnsi="Segoe UI" w:cs="Segoe UI"/>
        </w:rPr>
        <w:t>)</w:t>
      </w:r>
      <w:r>
        <w:rPr>
          <w:rFonts w:ascii="Segoe UI" w:hAnsi="Segoe UI" w:cs="Segoe UI"/>
        </w:rPr>
        <w:t xml:space="preserve"> depending on their location of origin?</w:t>
      </w:r>
    </w:p>
    <w:p w14:paraId="6A7CC112" w14:textId="4E3326E0" w:rsidR="00E33BE4" w:rsidRPr="009E5822" w:rsidRDefault="00E33BE4" w:rsidP="00E567EE">
      <w:pPr>
        <w:spacing w:line="240" w:lineRule="auto"/>
        <w:rPr>
          <w:rFonts w:ascii="Segoe UI" w:hAnsi="Segoe UI" w:cs="Segoe UI"/>
        </w:rPr>
      </w:pPr>
    </w:p>
    <w:sectPr w:rsidR="00E33BE4" w:rsidRPr="009E58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7BCC8F" w14:textId="77777777" w:rsidR="009D5075" w:rsidRDefault="009D5075" w:rsidP="00D40286">
      <w:pPr>
        <w:spacing w:after="0" w:line="240" w:lineRule="auto"/>
      </w:pPr>
      <w:r>
        <w:separator/>
      </w:r>
    </w:p>
  </w:endnote>
  <w:endnote w:type="continuationSeparator" w:id="0">
    <w:p w14:paraId="0E1A8C82" w14:textId="77777777" w:rsidR="009D5075" w:rsidRDefault="009D5075" w:rsidP="00D40286">
      <w:pPr>
        <w:spacing w:after="0" w:line="240" w:lineRule="auto"/>
      </w:pPr>
      <w:r>
        <w:continuationSeparator/>
      </w:r>
    </w:p>
  </w:endnote>
  <w:endnote w:type="continuationNotice" w:id="1">
    <w:p w14:paraId="5B25C0FA" w14:textId="77777777" w:rsidR="009D5075" w:rsidRDefault="009D50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87CD87" w14:textId="77777777" w:rsidR="009D5075" w:rsidRDefault="009D5075" w:rsidP="00D40286">
      <w:pPr>
        <w:spacing w:after="0" w:line="240" w:lineRule="auto"/>
      </w:pPr>
      <w:r>
        <w:separator/>
      </w:r>
    </w:p>
  </w:footnote>
  <w:footnote w:type="continuationSeparator" w:id="0">
    <w:p w14:paraId="754BFB73" w14:textId="77777777" w:rsidR="009D5075" w:rsidRDefault="009D5075" w:rsidP="00D40286">
      <w:pPr>
        <w:spacing w:after="0" w:line="240" w:lineRule="auto"/>
      </w:pPr>
      <w:r>
        <w:continuationSeparator/>
      </w:r>
    </w:p>
  </w:footnote>
  <w:footnote w:type="continuationNotice" w:id="1">
    <w:p w14:paraId="6779B5D8" w14:textId="77777777" w:rsidR="009D5075" w:rsidRDefault="009D5075">
      <w:pPr>
        <w:spacing w:after="0" w:line="240" w:lineRule="auto"/>
      </w:pPr>
    </w:p>
  </w:footnote>
  <w:footnote w:id="2">
    <w:p w14:paraId="769FB578" w14:textId="77777777" w:rsidR="00122F67" w:rsidRDefault="00122F67" w:rsidP="00122F67">
      <w:pPr>
        <w:pStyle w:val="FootnoteText"/>
      </w:pPr>
      <w:r>
        <w:rPr>
          <w:rStyle w:val="FootnoteReference"/>
        </w:rPr>
        <w:footnoteRef/>
      </w:r>
      <w:r>
        <w:t xml:space="preserve"> </w:t>
      </w:r>
      <w:r w:rsidRPr="004C4F14">
        <w:t>The GHG Protocol Corporate Accounting and Reporting Standard</w:t>
      </w:r>
      <w:r>
        <w:t xml:space="preserve">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730EEF"/>
    <w:multiLevelType w:val="hybridMultilevel"/>
    <w:tmpl w:val="51C0A9B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5F90812"/>
    <w:multiLevelType w:val="hybridMultilevel"/>
    <w:tmpl w:val="97B20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F55FC5"/>
    <w:multiLevelType w:val="hybridMultilevel"/>
    <w:tmpl w:val="B9825B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D35796C"/>
    <w:multiLevelType w:val="hybridMultilevel"/>
    <w:tmpl w:val="B9825B9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E763361"/>
    <w:multiLevelType w:val="hybridMultilevel"/>
    <w:tmpl w:val="888E1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3F15CE"/>
    <w:multiLevelType w:val="hybridMultilevel"/>
    <w:tmpl w:val="54D86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505CAC"/>
    <w:multiLevelType w:val="hybridMultilevel"/>
    <w:tmpl w:val="B70253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8348FF"/>
    <w:multiLevelType w:val="hybridMultilevel"/>
    <w:tmpl w:val="67140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0F17C4"/>
    <w:multiLevelType w:val="hybridMultilevel"/>
    <w:tmpl w:val="CC3CA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6A5A36"/>
    <w:multiLevelType w:val="hybridMultilevel"/>
    <w:tmpl w:val="4B405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371716"/>
    <w:multiLevelType w:val="hybridMultilevel"/>
    <w:tmpl w:val="D610A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F600CF"/>
    <w:multiLevelType w:val="hybridMultilevel"/>
    <w:tmpl w:val="7258F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8468330">
    <w:abstractNumId w:val="5"/>
  </w:num>
  <w:num w:numId="2" w16cid:durableId="804545026">
    <w:abstractNumId w:val="1"/>
  </w:num>
  <w:num w:numId="3" w16cid:durableId="1467626224">
    <w:abstractNumId w:val="9"/>
  </w:num>
  <w:num w:numId="4" w16cid:durableId="1749182930">
    <w:abstractNumId w:val="11"/>
  </w:num>
  <w:num w:numId="5" w16cid:durableId="631057219">
    <w:abstractNumId w:val="10"/>
  </w:num>
  <w:num w:numId="6" w16cid:durableId="271129866">
    <w:abstractNumId w:val="4"/>
  </w:num>
  <w:num w:numId="7" w16cid:durableId="1705520862">
    <w:abstractNumId w:val="2"/>
  </w:num>
  <w:num w:numId="8" w16cid:durableId="1708022660">
    <w:abstractNumId w:val="0"/>
  </w:num>
  <w:num w:numId="9" w16cid:durableId="1677461718">
    <w:abstractNumId w:val="3"/>
  </w:num>
  <w:num w:numId="10" w16cid:durableId="1768191613">
    <w:abstractNumId w:val="8"/>
  </w:num>
  <w:num w:numId="11" w16cid:durableId="2133791753">
    <w:abstractNumId w:val="7"/>
  </w:num>
  <w:num w:numId="12" w16cid:durableId="12533900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F01"/>
    <w:rsid w:val="00001ABD"/>
    <w:rsid w:val="00002A6C"/>
    <w:rsid w:val="00004A2C"/>
    <w:rsid w:val="000120C0"/>
    <w:rsid w:val="00016AD3"/>
    <w:rsid w:val="000171ED"/>
    <w:rsid w:val="00023060"/>
    <w:rsid w:val="000303E6"/>
    <w:rsid w:val="000330F8"/>
    <w:rsid w:val="000349E9"/>
    <w:rsid w:val="00050D03"/>
    <w:rsid w:val="00051D22"/>
    <w:rsid w:val="00051FD5"/>
    <w:rsid w:val="00057B09"/>
    <w:rsid w:val="00070246"/>
    <w:rsid w:val="0008316B"/>
    <w:rsid w:val="00096B4C"/>
    <w:rsid w:val="000A0FAE"/>
    <w:rsid w:val="000B0EB5"/>
    <w:rsid w:val="000C197E"/>
    <w:rsid w:val="000D035D"/>
    <w:rsid w:val="000D0D85"/>
    <w:rsid w:val="000D1D25"/>
    <w:rsid w:val="000E5A50"/>
    <w:rsid w:val="000E651A"/>
    <w:rsid w:val="0010577F"/>
    <w:rsid w:val="001073CF"/>
    <w:rsid w:val="00115E75"/>
    <w:rsid w:val="00122F67"/>
    <w:rsid w:val="001359CB"/>
    <w:rsid w:val="00140828"/>
    <w:rsid w:val="001502C4"/>
    <w:rsid w:val="00151EF6"/>
    <w:rsid w:val="00186F01"/>
    <w:rsid w:val="001923E6"/>
    <w:rsid w:val="00196A61"/>
    <w:rsid w:val="001A10B4"/>
    <w:rsid w:val="001B4831"/>
    <w:rsid w:val="001C299A"/>
    <w:rsid w:val="001C7280"/>
    <w:rsid w:val="001C7E2B"/>
    <w:rsid w:val="001D5A70"/>
    <w:rsid w:val="001D5BFD"/>
    <w:rsid w:val="001D62C3"/>
    <w:rsid w:val="001D75C4"/>
    <w:rsid w:val="00212455"/>
    <w:rsid w:val="002258B3"/>
    <w:rsid w:val="0023764F"/>
    <w:rsid w:val="00242B8E"/>
    <w:rsid w:val="00244E3A"/>
    <w:rsid w:val="00262AA2"/>
    <w:rsid w:val="00271D11"/>
    <w:rsid w:val="002740D8"/>
    <w:rsid w:val="0028168A"/>
    <w:rsid w:val="0028385F"/>
    <w:rsid w:val="0028539E"/>
    <w:rsid w:val="002A5EF7"/>
    <w:rsid w:val="002A740D"/>
    <w:rsid w:val="002D4322"/>
    <w:rsid w:val="002D4B42"/>
    <w:rsid w:val="002F548A"/>
    <w:rsid w:val="00311627"/>
    <w:rsid w:val="0031714C"/>
    <w:rsid w:val="003230CA"/>
    <w:rsid w:val="00334A34"/>
    <w:rsid w:val="003433E4"/>
    <w:rsid w:val="00370DD1"/>
    <w:rsid w:val="00373205"/>
    <w:rsid w:val="00376E8A"/>
    <w:rsid w:val="0038230F"/>
    <w:rsid w:val="00383173"/>
    <w:rsid w:val="00384373"/>
    <w:rsid w:val="0038665E"/>
    <w:rsid w:val="0039693C"/>
    <w:rsid w:val="003971AB"/>
    <w:rsid w:val="003A01A6"/>
    <w:rsid w:val="003A0B74"/>
    <w:rsid w:val="003B6D26"/>
    <w:rsid w:val="003C3BF7"/>
    <w:rsid w:val="003D5D53"/>
    <w:rsid w:val="003D75E0"/>
    <w:rsid w:val="003E610C"/>
    <w:rsid w:val="003E75A1"/>
    <w:rsid w:val="003F1EBB"/>
    <w:rsid w:val="003F4A5C"/>
    <w:rsid w:val="003F6203"/>
    <w:rsid w:val="00400082"/>
    <w:rsid w:val="0040490A"/>
    <w:rsid w:val="00404FAC"/>
    <w:rsid w:val="004143E4"/>
    <w:rsid w:val="004177C9"/>
    <w:rsid w:val="00423E92"/>
    <w:rsid w:val="00427053"/>
    <w:rsid w:val="00435CF9"/>
    <w:rsid w:val="00436FDA"/>
    <w:rsid w:val="004441D3"/>
    <w:rsid w:val="00463CFE"/>
    <w:rsid w:val="004653EC"/>
    <w:rsid w:val="0048293B"/>
    <w:rsid w:val="00485377"/>
    <w:rsid w:val="00494A41"/>
    <w:rsid w:val="00497ED0"/>
    <w:rsid w:val="004A33F8"/>
    <w:rsid w:val="004A516E"/>
    <w:rsid w:val="004B0342"/>
    <w:rsid w:val="004B3595"/>
    <w:rsid w:val="004C395B"/>
    <w:rsid w:val="004D1E86"/>
    <w:rsid w:val="004D62DE"/>
    <w:rsid w:val="004D77D0"/>
    <w:rsid w:val="004D77EE"/>
    <w:rsid w:val="004E090C"/>
    <w:rsid w:val="00524325"/>
    <w:rsid w:val="00526BA6"/>
    <w:rsid w:val="005305C7"/>
    <w:rsid w:val="00530A5B"/>
    <w:rsid w:val="00533065"/>
    <w:rsid w:val="00537B8F"/>
    <w:rsid w:val="00570C46"/>
    <w:rsid w:val="005900C6"/>
    <w:rsid w:val="00591EC3"/>
    <w:rsid w:val="005D17DC"/>
    <w:rsid w:val="005D5D94"/>
    <w:rsid w:val="005F119E"/>
    <w:rsid w:val="005F67B1"/>
    <w:rsid w:val="00601B22"/>
    <w:rsid w:val="006119BF"/>
    <w:rsid w:val="006224E7"/>
    <w:rsid w:val="00624D75"/>
    <w:rsid w:val="00627E6A"/>
    <w:rsid w:val="0063351C"/>
    <w:rsid w:val="006437E6"/>
    <w:rsid w:val="00660A13"/>
    <w:rsid w:val="006763EF"/>
    <w:rsid w:val="00677FEE"/>
    <w:rsid w:val="00681229"/>
    <w:rsid w:val="00681F6E"/>
    <w:rsid w:val="00685FB6"/>
    <w:rsid w:val="006953D3"/>
    <w:rsid w:val="006A0942"/>
    <w:rsid w:val="006A39AB"/>
    <w:rsid w:val="006B2CCD"/>
    <w:rsid w:val="006C3E01"/>
    <w:rsid w:val="006C3F27"/>
    <w:rsid w:val="006C44DE"/>
    <w:rsid w:val="006C49C2"/>
    <w:rsid w:val="006D013A"/>
    <w:rsid w:val="006E5936"/>
    <w:rsid w:val="006F3B0B"/>
    <w:rsid w:val="00702A65"/>
    <w:rsid w:val="007034D3"/>
    <w:rsid w:val="00707413"/>
    <w:rsid w:val="00716998"/>
    <w:rsid w:val="00717B9B"/>
    <w:rsid w:val="007200BE"/>
    <w:rsid w:val="007225DC"/>
    <w:rsid w:val="00727DC8"/>
    <w:rsid w:val="00730D40"/>
    <w:rsid w:val="007354EF"/>
    <w:rsid w:val="00736E8C"/>
    <w:rsid w:val="00750E48"/>
    <w:rsid w:val="00751C0F"/>
    <w:rsid w:val="0076050C"/>
    <w:rsid w:val="007609AF"/>
    <w:rsid w:val="007760DD"/>
    <w:rsid w:val="00786A39"/>
    <w:rsid w:val="007B2275"/>
    <w:rsid w:val="007B57B8"/>
    <w:rsid w:val="007B66C6"/>
    <w:rsid w:val="007B7436"/>
    <w:rsid w:val="007C2F6A"/>
    <w:rsid w:val="007C3A87"/>
    <w:rsid w:val="007C6DA0"/>
    <w:rsid w:val="007C7070"/>
    <w:rsid w:val="007F1849"/>
    <w:rsid w:val="007F5DFF"/>
    <w:rsid w:val="008019E0"/>
    <w:rsid w:val="008062F1"/>
    <w:rsid w:val="008328BC"/>
    <w:rsid w:val="008432D6"/>
    <w:rsid w:val="008475C1"/>
    <w:rsid w:val="00850778"/>
    <w:rsid w:val="00852BB3"/>
    <w:rsid w:val="00861085"/>
    <w:rsid w:val="00872397"/>
    <w:rsid w:val="00875A80"/>
    <w:rsid w:val="00883C4F"/>
    <w:rsid w:val="008856E7"/>
    <w:rsid w:val="008A19C0"/>
    <w:rsid w:val="008A6398"/>
    <w:rsid w:val="008B4632"/>
    <w:rsid w:val="008B5DF7"/>
    <w:rsid w:val="008B707A"/>
    <w:rsid w:val="008C1F73"/>
    <w:rsid w:val="008C7090"/>
    <w:rsid w:val="008F0CBD"/>
    <w:rsid w:val="0090270F"/>
    <w:rsid w:val="00904E29"/>
    <w:rsid w:val="00933FAE"/>
    <w:rsid w:val="009517B1"/>
    <w:rsid w:val="00956024"/>
    <w:rsid w:val="00956F37"/>
    <w:rsid w:val="00960B4E"/>
    <w:rsid w:val="00962DC2"/>
    <w:rsid w:val="00973688"/>
    <w:rsid w:val="009741EE"/>
    <w:rsid w:val="00983A23"/>
    <w:rsid w:val="00991A26"/>
    <w:rsid w:val="009A5920"/>
    <w:rsid w:val="009B20E5"/>
    <w:rsid w:val="009B57B2"/>
    <w:rsid w:val="009C30E9"/>
    <w:rsid w:val="009C315D"/>
    <w:rsid w:val="009C407E"/>
    <w:rsid w:val="009C79DE"/>
    <w:rsid w:val="009D0D82"/>
    <w:rsid w:val="009D5075"/>
    <w:rsid w:val="009E548C"/>
    <w:rsid w:val="009E5822"/>
    <w:rsid w:val="009E5CC7"/>
    <w:rsid w:val="009E5CCF"/>
    <w:rsid w:val="009E6269"/>
    <w:rsid w:val="00A015C2"/>
    <w:rsid w:val="00A10ACC"/>
    <w:rsid w:val="00A1268C"/>
    <w:rsid w:val="00A376C6"/>
    <w:rsid w:val="00A600EF"/>
    <w:rsid w:val="00A76C21"/>
    <w:rsid w:val="00A8310C"/>
    <w:rsid w:val="00A84A92"/>
    <w:rsid w:val="00A8512F"/>
    <w:rsid w:val="00A937F5"/>
    <w:rsid w:val="00A94C0F"/>
    <w:rsid w:val="00A97E44"/>
    <w:rsid w:val="00AA4A12"/>
    <w:rsid w:val="00AC153F"/>
    <w:rsid w:val="00AE5E61"/>
    <w:rsid w:val="00AF1584"/>
    <w:rsid w:val="00B105EB"/>
    <w:rsid w:val="00B14A13"/>
    <w:rsid w:val="00B249B3"/>
    <w:rsid w:val="00B3733A"/>
    <w:rsid w:val="00B41B71"/>
    <w:rsid w:val="00B51D34"/>
    <w:rsid w:val="00B67434"/>
    <w:rsid w:val="00B67C0A"/>
    <w:rsid w:val="00B76EF1"/>
    <w:rsid w:val="00B77AC1"/>
    <w:rsid w:val="00B953B3"/>
    <w:rsid w:val="00BA1CE0"/>
    <w:rsid w:val="00BB3CA1"/>
    <w:rsid w:val="00BB6DE5"/>
    <w:rsid w:val="00BC12F6"/>
    <w:rsid w:val="00BC4FAC"/>
    <w:rsid w:val="00BD6886"/>
    <w:rsid w:val="00BD6C80"/>
    <w:rsid w:val="00BD7D3B"/>
    <w:rsid w:val="00BF31CB"/>
    <w:rsid w:val="00C17D53"/>
    <w:rsid w:val="00C17E69"/>
    <w:rsid w:val="00C20E83"/>
    <w:rsid w:val="00C4448A"/>
    <w:rsid w:val="00C46710"/>
    <w:rsid w:val="00C5237F"/>
    <w:rsid w:val="00C57FF2"/>
    <w:rsid w:val="00C6147B"/>
    <w:rsid w:val="00C6503A"/>
    <w:rsid w:val="00C74752"/>
    <w:rsid w:val="00C8103E"/>
    <w:rsid w:val="00C81860"/>
    <w:rsid w:val="00C8535B"/>
    <w:rsid w:val="00C85C35"/>
    <w:rsid w:val="00C86777"/>
    <w:rsid w:val="00CB00E2"/>
    <w:rsid w:val="00CC1E03"/>
    <w:rsid w:val="00CC64E3"/>
    <w:rsid w:val="00CD0D46"/>
    <w:rsid w:val="00CE0DD6"/>
    <w:rsid w:val="00CE22D9"/>
    <w:rsid w:val="00CF3891"/>
    <w:rsid w:val="00D03DD1"/>
    <w:rsid w:val="00D07FBB"/>
    <w:rsid w:val="00D21DC6"/>
    <w:rsid w:val="00D22ABB"/>
    <w:rsid w:val="00D362F9"/>
    <w:rsid w:val="00D40286"/>
    <w:rsid w:val="00D51B5D"/>
    <w:rsid w:val="00D53586"/>
    <w:rsid w:val="00D543AF"/>
    <w:rsid w:val="00D65C98"/>
    <w:rsid w:val="00D65DD3"/>
    <w:rsid w:val="00D66421"/>
    <w:rsid w:val="00D915D8"/>
    <w:rsid w:val="00DA7E88"/>
    <w:rsid w:val="00DB479C"/>
    <w:rsid w:val="00DC1240"/>
    <w:rsid w:val="00DC29D1"/>
    <w:rsid w:val="00DC7907"/>
    <w:rsid w:val="00DD1815"/>
    <w:rsid w:val="00DF22D2"/>
    <w:rsid w:val="00E00873"/>
    <w:rsid w:val="00E0343C"/>
    <w:rsid w:val="00E03CCB"/>
    <w:rsid w:val="00E04271"/>
    <w:rsid w:val="00E046C7"/>
    <w:rsid w:val="00E2297A"/>
    <w:rsid w:val="00E232BD"/>
    <w:rsid w:val="00E26092"/>
    <w:rsid w:val="00E33BE4"/>
    <w:rsid w:val="00E41DCB"/>
    <w:rsid w:val="00E46C39"/>
    <w:rsid w:val="00E52970"/>
    <w:rsid w:val="00E567EE"/>
    <w:rsid w:val="00E6008C"/>
    <w:rsid w:val="00E6451E"/>
    <w:rsid w:val="00E805C4"/>
    <w:rsid w:val="00E85441"/>
    <w:rsid w:val="00E876E1"/>
    <w:rsid w:val="00E94EBC"/>
    <w:rsid w:val="00EA7329"/>
    <w:rsid w:val="00EB1C2A"/>
    <w:rsid w:val="00EC03AD"/>
    <w:rsid w:val="00EC0FEF"/>
    <w:rsid w:val="00EC41AC"/>
    <w:rsid w:val="00ED1FEF"/>
    <w:rsid w:val="00ED594A"/>
    <w:rsid w:val="00ED7839"/>
    <w:rsid w:val="00EE3505"/>
    <w:rsid w:val="00EE4238"/>
    <w:rsid w:val="00EE7554"/>
    <w:rsid w:val="00EF12AE"/>
    <w:rsid w:val="00EF4B8C"/>
    <w:rsid w:val="00EF5536"/>
    <w:rsid w:val="00EF70CB"/>
    <w:rsid w:val="00F04A1D"/>
    <w:rsid w:val="00F0761A"/>
    <w:rsid w:val="00F217EB"/>
    <w:rsid w:val="00F22C95"/>
    <w:rsid w:val="00F25AA8"/>
    <w:rsid w:val="00F30350"/>
    <w:rsid w:val="00F31263"/>
    <w:rsid w:val="00F3717E"/>
    <w:rsid w:val="00F509F9"/>
    <w:rsid w:val="00F54AEE"/>
    <w:rsid w:val="00F60469"/>
    <w:rsid w:val="00F66435"/>
    <w:rsid w:val="00F70A96"/>
    <w:rsid w:val="00F72D33"/>
    <w:rsid w:val="00F815E5"/>
    <w:rsid w:val="00F96C78"/>
    <w:rsid w:val="00FC25A9"/>
    <w:rsid w:val="00FC2EB9"/>
    <w:rsid w:val="00FD45D2"/>
    <w:rsid w:val="00FD6E8F"/>
    <w:rsid w:val="00FE5C3C"/>
    <w:rsid w:val="00FF0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D89EDD"/>
  <w15:chartTrackingRefBased/>
  <w15:docId w15:val="{899995E1-F444-7443-B7BA-B5D84425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6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6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6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6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6F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F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F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F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F01"/>
    <w:rPr>
      <w:rFonts w:eastAsiaTheme="majorEastAsia" w:cstheme="majorBidi"/>
      <w:color w:val="272727" w:themeColor="text1" w:themeTint="D8"/>
    </w:rPr>
  </w:style>
  <w:style w:type="paragraph" w:styleId="Title">
    <w:name w:val="Title"/>
    <w:basedOn w:val="Normal"/>
    <w:next w:val="Normal"/>
    <w:link w:val="TitleChar"/>
    <w:uiPriority w:val="10"/>
    <w:qFormat/>
    <w:rsid w:val="00186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F01"/>
    <w:pPr>
      <w:spacing w:before="160"/>
      <w:jc w:val="center"/>
    </w:pPr>
    <w:rPr>
      <w:i/>
      <w:iCs/>
      <w:color w:val="404040" w:themeColor="text1" w:themeTint="BF"/>
    </w:rPr>
  </w:style>
  <w:style w:type="character" w:customStyle="1" w:styleId="QuoteChar">
    <w:name w:val="Quote Char"/>
    <w:basedOn w:val="DefaultParagraphFont"/>
    <w:link w:val="Quote"/>
    <w:uiPriority w:val="29"/>
    <w:rsid w:val="00186F01"/>
    <w:rPr>
      <w:i/>
      <w:iCs/>
      <w:color w:val="404040" w:themeColor="text1" w:themeTint="BF"/>
    </w:rPr>
  </w:style>
  <w:style w:type="paragraph" w:styleId="ListParagraph">
    <w:name w:val="List Paragraph"/>
    <w:basedOn w:val="Normal"/>
    <w:uiPriority w:val="34"/>
    <w:qFormat/>
    <w:rsid w:val="00186F01"/>
    <w:pPr>
      <w:ind w:left="720"/>
      <w:contextualSpacing/>
    </w:pPr>
  </w:style>
  <w:style w:type="character" w:styleId="IntenseEmphasis">
    <w:name w:val="Intense Emphasis"/>
    <w:basedOn w:val="DefaultParagraphFont"/>
    <w:uiPriority w:val="21"/>
    <w:qFormat/>
    <w:rsid w:val="00186F01"/>
    <w:rPr>
      <w:i/>
      <w:iCs/>
      <w:color w:val="0F4761" w:themeColor="accent1" w:themeShade="BF"/>
    </w:rPr>
  </w:style>
  <w:style w:type="paragraph" w:styleId="IntenseQuote">
    <w:name w:val="Intense Quote"/>
    <w:basedOn w:val="Normal"/>
    <w:next w:val="Normal"/>
    <w:link w:val="IntenseQuoteChar"/>
    <w:uiPriority w:val="30"/>
    <w:qFormat/>
    <w:rsid w:val="00186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6F01"/>
    <w:rPr>
      <w:i/>
      <w:iCs/>
      <w:color w:val="0F4761" w:themeColor="accent1" w:themeShade="BF"/>
    </w:rPr>
  </w:style>
  <w:style w:type="character" w:styleId="IntenseReference">
    <w:name w:val="Intense Reference"/>
    <w:basedOn w:val="DefaultParagraphFont"/>
    <w:uiPriority w:val="32"/>
    <w:qFormat/>
    <w:rsid w:val="00186F01"/>
    <w:rPr>
      <w:b/>
      <w:bCs/>
      <w:smallCaps/>
      <w:color w:val="0F4761" w:themeColor="accent1" w:themeShade="BF"/>
      <w:spacing w:val="5"/>
    </w:rPr>
  </w:style>
  <w:style w:type="paragraph" w:styleId="FootnoteText">
    <w:name w:val="footnote text"/>
    <w:basedOn w:val="Normal"/>
    <w:link w:val="FootnoteTextChar"/>
    <w:uiPriority w:val="99"/>
    <w:semiHidden/>
    <w:unhideWhenUsed/>
    <w:rsid w:val="00D402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0286"/>
    <w:rPr>
      <w:sz w:val="20"/>
      <w:szCs w:val="20"/>
    </w:rPr>
  </w:style>
  <w:style w:type="character" w:styleId="FootnoteReference">
    <w:name w:val="footnote reference"/>
    <w:basedOn w:val="DefaultParagraphFont"/>
    <w:uiPriority w:val="99"/>
    <w:semiHidden/>
    <w:unhideWhenUsed/>
    <w:rsid w:val="00D40286"/>
    <w:rPr>
      <w:vertAlign w:val="superscript"/>
    </w:rPr>
  </w:style>
  <w:style w:type="paragraph" w:styleId="Header">
    <w:name w:val="header"/>
    <w:basedOn w:val="Normal"/>
    <w:link w:val="HeaderChar"/>
    <w:uiPriority w:val="99"/>
    <w:unhideWhenUsed/>
    <w:rsid w:val="00AE5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E61"/>
  </w:style>
  <w:style w:type="paragraph" w:styleId="Footer">
    <w:name w:val="footer"/>
    <w:basedOn w:val="Normal"/>
    <w:link w:val="FooterChar"/>
    <w:uiPriority w:val="99"/>
    <w:unhideWhenUsed/>
    <w:rsid w:val="00AE5E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E61"/>
  </w:style>
  <w:style w:type="table" w:styleId="TableGrid">
    <w:name w:val="Table Grid"/>
    <w:basedOn w:val="TableNormal"/>
    <w:uiPriority w:val="39"/>
    <w:rsid w:val="00703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27673">
      <w:bodyDiv w:val="1"/>
      <w:marLeft w:val="0"/>
      <w:marRight w:val="0"/>
      <w:marTop w:val="0"/>
      <w:marBottom w:val="0"/>
      <w:divBdr>
        <w:top w:val="none" w:sz="0" w:space="0" w:color="auto"/>
        <w:left w:val="none" w:sz="0" w:space="0" w:color="auto"/>
        <w:bottom w:val="none" w:sz="0" w:space="0" w:color="auto"/>
        <w:right w:val="none" w:sz="0" w:space="0" w:color="auto"/>
      </w:divBdr>
    </w:div>
    <w:div w:id="81995653">
      <w:bodyDiv w:val="1"/>
      <w:marLeft w:val="0"/>
      <w:marRight w:val="0"/>
      <w:marTop w:val="0"/>
      <w:marBottom w:val="0"/>
      <w:divBdr>
        <w:top w:val="none" w:sz="0" w:space="0" w:color="auto"/>
        <w:left w:val="none" w:sz="0" w:space="0" w:color="auto"/>
        <w:bottom w:val="none" w:sz="0" w:space="0" w:color="auto"/>
        <w:right w:val="none" w:sz="0" w:space="0" w:color="auto"/>
      </w:divBdr>
    </w:div>
    <w:div w:id="123043071">
      <w:bodyDiv w:val="1"/>
      <w:marLeft w:val="0"/>
      <w:marRight w:val="0"/>
      <w:marTop w:val="0"/>
      <w:marBottom w:val="0"/>
      <w:divBdr>
        <w:top w:val="none" w:sz="0" w:space="0" w:color="auto"/>
        <w:left w:val="none" w:sz="0" w:space="0" w:color="auto"/>
        <w:bottom w:val="none" w:sz="0" w:space="0" w:color="auto"/>
        <w:right w:val="none" w:sz="0" w:space="0" w:color="auto"/>
      </w:divBdr>
    </w:div>
    <w:div w:id="137505274">
      <w:bodyDiv w:val="1"/>
      <w:marLeft w:val="0"/>
      <w:marRight w:val="0"/>
      <w:marTop w:val="0"/>
      <w:marBottom w:val="0"/>
      <w:divBdr>
        <w:top w:val="none" w:sz="0" w:space="0" w:color="auto"/>
        <w:left w:val="none" w:sz="0" w:space="0" w:color="auto"/>
        <w:bottom w:val="none" w:sz="0" w:space="0" w:color="auto"/>
        <w:right w:val="none" w:sz="0" w:space="0" w:color="auto"/>
      </w:divBdr>
    </w:div>
    <w:div w:id="151023139">
      <w:bodyDiv w:val="1"/>
      <w:marLeft w:val="0"/>
      <w:marRight w:val="0"/>
      <w:marTop w:val="0"/>
      <w:marBottom w:val="0"/>
      <w:divBdr>
        <w:top w:val="none" w:sz="0" w:space="0" w:color="auto"/>
        <w:left w:val="none" w:sz="0" w:space="0" w:color="auto"/>
        <w:bottom w:val="none" w:sz="0" w:space="0" w:color="auto"/>
        <w:right w:val="none" w:sz="0" w:space="0" w:color="auto"/>
      </w:divBdr>
    </w:div>
    <w:div w:id="165947468">
      <w:bodyDiv w:val="1"/>
      <w:marLeft w:val="0"/>
      <w:marRight w:val="0"/>
      <w:marTop w:val="0"/>
      <w:marBottom w:val="0"/>
      <w:divBdr>
        <w:top w:val="none" w:sz="0" w:space="0" w:color="auto"/>
        <w:left w:val="none" w:sz="0" w:space="0" w:color="auto"/>
        <w:bottom w:val="none" w:sz="0" w:space="0" w:color="auto"/>
        <w:right w:val="none" w:sz="0" w:space="0" w:color="auto"/>
      </w:divBdr>
    </w:div>
    <w:div w:id="198325382">
      <w:bodyDiv w:val="1"/>
      <w:marLeft w:val="0"/>
      <w:marRight w:val="0"/>
      <w:marTop w:val="0"/>
      <w:marBottom w:val="0"/>
      <w:divBdr>
        <w:top w:val="none" w:sz="0" w:space="0" w:color="auto"/>
        <w:left w:val="none" w:sz="0" w:space="0" w:color="auto"/>
        <w:bottom w:val="none" w:sz="0" w:space="0" w:color="auto"/>
        <w:right w:val="none" w:sz="0" w:space="0" w:color="auto"/>
      </w:divBdr>
    </w:div>
    <w:div w:id="306279012">
      <w:bodyDiv w:val="1"/>
      <w:marLeft w:val="0"/>
      <w:marRight w:val="0"/>
      <w:marTop w:val="0"/>
      <w:marBottom w:val="0"/>
      <w:divBdr>
        <w:top w:val="none" w:sz="0" w:space="0" w:color="auto"/>
        <w:left w:val="none" w:sz="0" w:space="0" w:color="auto"/>
        <w:bottom w:val="none" w:sz="0" w:space="0" w:color="auto"/>
        <w:right w:val="none" w:sz="0" w:space="0" w:color="auto"/>
      </w:divBdr>
    </w:div>
    <w:div w:id="357699538">
      <w:bodyDiv w:val="1"/>
      <w:marLeft w:val="0"/>
      <w:marRight w:val="0"/>
      <w:marTop w:val="0"/>
      <w:marBottom w:val="0"/>
      <w:divBdr>
        <w:top w:val="none" w:sz="0" w:space="0" w:color="auto"/>
        <w:left w:val="none" w:sz="0" w:space="0" w:color="auto"/>
        <w:bottom w:val="none" w:sz="0" w:space="0" w:color="auto"/>
        <w:right w:val="none" w:sz="0" w:space="0" w:color="auto"/>
      </w:divBdr>
    </w:div>
    <w:div w:id="357899756">
      <w:bodyDiv w:val="1"/>
      <w:marLeft w:val="0"/>
      <w:marRight w:val="0"/>
      <w:marTop w:val="0"/>
      <w:marBottom w:val="0"/>
      <w:divBdr>
        <w:top w:val="none" w:sz="0" w:space="0" w:color="auto"/>
        <w:left w:val="none" w:sz="0" w:space="0" w:color="auto"/>
        <w:bottom w:val="none" w:sz="0" w:space="0" w:color="auto"/>
        <w:right w:val="none" w:sz="0" w:space="0" w:color="auto"/>
      </w:divBdr>
    </w:div>
    <w:div w:id="414981406">
      <w:bodyDiv w:val="1"/>
      <w:marLeft w:val="0"/>
      <w:marRight w:val="0"/>
      <w:marTop w:val="0"/>
      <w:marBottom w:val="0"/>
      <w:divBdr>
        <w:top w:val="none" w:sz="0" w:space="0" w:color="auto"/>
        <w:left w:val="none" w:sz="0" w:space="0" w:color="auto"/>
        <w:bottom w:val="none" w:sz="0" w:space="0" w:color="auto"/>
        <w:right w:val="none" w:sz="0" w:space="0" w:color="auto"/>
      </w:divBdr>
    </w:div>
    <w:div w:id="559288293">
      <w:bodyDiv w:val="1"/>
      <w:marLeft w:val="0"/>
      <w:marRight w:val="0"/>
      <w:marTop w:val="0"/>
      <w:marBottom w:val="0"/>
      <w:divBdr>
        <w:top w:val="none" w:sz="0" w:space="0" w:color="auto"/>
        <w:left w:val="none" w:sz="0" w:space="0" w:color="auto"/>
        <w:bottom w:val="none" w:sz="0" w:space="0" w:color="auto"/>
        <w:right w:val="none" w:sz="0" w:space="0" w:color="auto"/>
      </w:divBdr>
    </w:div>
    <w:div w:id="593367180">
      <w:bodyDiv w:val="1"/>
      <w:marLeft w:val="0"/>
      <w:marRight w:val="0"/>
      <w:marTop w:val="0"/>
      <w:marBottom w:val="0"/>
      <w:divBdr>
        <w:top w:val="none" w:sz="0" w:space="0" w:color="auto"/>
        <w:left w:val="none" w:sz="0" w:space="0" w:color="auto"/>
        <w:bottom w:val="none" w:sz="0" w:space="0" w:color="auto"/>
        <w:right w:val="none" w:sz="0" w:space="0" w:color="auto"/>
      </w:divBdr>
    </w:div>
    <w:div w:id="780883828">
      <w:bodyDiv w:val="1"/>
      <w:marLeft w:val="0"/>
      <w:marRight w:val="0"/>
      <w:marTop w:val="0"/>
      <w:marBottom w:val="0"/>
      <w:divBdr>
        <w:top w:val="none" w:sz="0" w:space="0" w:color="auto"/>
        <w:left w:val="none" w:sz="0" w:space="0" w:color="auto"/>
        <w:bottom w:val="none" w:sz="0" w:space="0" w:color="auto"/>
        <w:right w:val="none" w:sz="0" w:space="0" w:color="auto"/>
      </w:divBdr>
    </w:div>
    <w:div w:id="843125775">
      <w:bodyDiv w:val="1"/>
      <w:marLeft w:val="0"/>
      <w:marRight w:val="0"/>
      <w:marTop w:val="0"/>
      <w:marBottom w:val="0"/>
      <w:divBdr>
        <w:top w:val="none" w:sz="0" w:space="0" w:color="auto"/>
        <w:left w:val="none" w:sz="0" w:space="0" w:color="auto"/>
        <w:bottom w:val="none" w:sz="0" w:space="0" w:color="auto"/>
        <w:right w:val="none" w:sz="0" w:space="0" w:color="auto"/>
      </w:divBdr>
    </w:div>
    <w:div w:id="1064525650">
      <w:bodyDiv w:val="1"/>
      <w:marLeft w:val="0"/>
      <w:marRight w:val="0"/>
      <w:marTop w:val="0"/>
      <w:marBottom w:val="0"/>
      <w:divBdr>
        <w:top w:val="none" w:sz="0" w:space="0" w:color="auto"/>
        <w:left w:val="none" w:sz="0" w:space="0" w:color="auto"/>
        <w:bottom w:val="none" w:sz="0" w:space="0" w:color="auto"/>
        <w:right w:val="none" w:sz="0" w:space="0" w:color="auto"/>
      </w:divBdr>
    </w:div>
    <w:div w:id="1075515898">
      <w:bodyDiv w:val="1"/>
      <w:marLeft w:val="0"/>
      <w:marRight w:val="0"/>
      <w:marTop w:val="0"/>
      <w:marBottom w:val="0"/>
      <w:divBdr>
        <w:top w:val="none" w:sz="0" w:space="0" w:color="auto"/>
        <w:left w:val="none" w:sz="0" w:space="0" w:color="auto"/>
        <w:bottom w:val="none" w:sz="0" w:space="0" w:color="auto"/>
        <w:right w:val="none" w:sz="0" w:space="0" w:color="auto"/>
      </w:divBdr>
    </w:div>
    <w:div w:id="1079474890">
      <w:bodyDiv w:val="1"/>
      <w:marLeft w:val="0"/>
      <w:marRight w:val="0"/>
      <w:marTop w:val="0"/>
      <w:marBottom w:val="0"/>
      <w:divBdr>
        <w:top w:val="none" w:sz="0" w:space="0" w:color="auto"/>
        <w:left w:val="none" w:sz="0" w:space="0" w:color="auto"/>
        <w:bottom w:val="none" w:sz="0" w:space="0" w:color="auto"/>
        <w:right w:val="none" w:sz="0" w:space="0" w:color="auto"/>
      </w:divBdr>
    </w:div>
    <w:div w:id="1091589407">
      <w:bodyDiv w:val="1"/>
      <w:marLeft w:val="0"/>
      <w:marRight w:val="0"/>
      <w:marTop w:val="0"/>
      <w:marBottom w:val="0"/>
      <w:divBdr>
        <w:top w:val="none" w:sz="0" w:space="0" w:color="auto"/>
        <w:left w:val="none" w:sz="0" w:space="0" w:color="auto"/>
        <w:bottom w:val="none" w:sz="0" w:space="0" w:color="auto"/>
        <w:right w:val="none" w:sz="0" w:space="0" w:color="auto"/>
      </w:divBdr>
    </w:div>
    <w:div w:id="1094204830">
      <w:bodyDiv w:val="1"/>
      <w:marLeft w:val="0"/>
      <w:marRight w:val="0"/>
      <w:marTop w:val="0"/>
      <w:marBottom w:val="0"/>
      <w:divBdr>
        <w:top w:val="none" w:sz="0" w:space="0" w:color="auto"/>
        <w:left w:val="none" w:sz="0" w:space="0" w:color="auto"/>
        <w:bottom w:val="none" w:sz="0" w:space="0" w:color="auto"/>
        <w:right w:val="none" w:sz="0" w:space="0" w:color="auto"/>
      </w:divBdr>
    </w:div>
    <w:div w:id="1121727660">
      <w:bodyDiv w:val="1"/>
      <w:marLeft w:val="0"/>
      <w:marRight w:val="0"/>
      <w:marTop w:val="0"/>
      <w:marBottom w:val="0"/>
      <w:divBdr>
        <w:top w:val="none" w:sz="0" w:space="0" w:color="auto"/>
        <w:left w:val="none" w:sz="0" w:space="0" w:color="auto"/>
        <w:bottom w:val="none" w:sz="0" w:space="0" w:color="auto"/>
        <w:right w:val="none" w:sz="0" w:space="0" w:color="auto"/>
      </w:divBdr>
    </w:div>
    <w:div w:id="1124540502">
      <w:bodyDiv w:val="1"/>
      <w:marLeft w:val="0"/>
      <w:marRight w:val="0"/>
      <w:marTop w:val="0"/>
      <w:marBottom w:val="0"/>
      <w:divBdr>
        <w:top w:val="none" w:sz="0" w:space="0" w:color="auto"/>
        <w:left w:val="none" w:sz="0" w:space="0" w:color="auto"/>
        <w:bottom w:val="none" w:sz="0" w:space="0" w:color="auto"/>
        <w:right w:val="none" w:sz="0" w:space="0" w:color="auto"/>
      </w:divBdr>
    </w:div>
    <w:div w:id="1145468881">
      <w:bodyDiv w:val="1"/>
      <w:marLeft w:val="0"/>
      <w:marRight w:val="0"/>
      <w:marTop w:val="0"/>
      <w:marBottom w:val="0"/>
      <w:divBdr>
        <w:top w:val="none" w:sz="0" w:space="0" w:color="auto"/>
        <w:left w:val="none" w:sz="0" w:space="0" w:color="auto"/>
        <w:bottom w:val="none" w:sz="0" w:space="0" w:color="auto"/>
        <w:right w:val="none" w:sz="0" w:space="0" w:color="auto"/>
      </w:divBdr>
    </w:div>
    <w:div w:id="1160778949">
      <w:bodyDiv w:val="1"/>
      <w:marLeft w:val="0"/>
      <w:marRight w:val="0"/>
      <w:marTop w:val="0"/>
      <w:marBottom w:val="0"/>
      <w:divBdr>
        <w:top w:val="none" w:sz="0" w:space="0" w:color="auto"/>
        <w:left w:val="none" w:sz="0" w:space="0" w:color="auto"/>
        <w:bottom w:val="none" w:sz="0" w:space="0" w:color="auto"/>
        <w:right w:val="none" w:sz="0" w:space="0" w:color="auto"/>
      </w:divBdr>
    </w:div>
    <w:div w:id="1294672534">
      <w:bodyDiv w:val="1"/>
      <w:marLeft w:val="0"/>
      <w:marRight w:val="0"/>
      <w:marTop w:val="0"/>
      <w:marBottom w:val="0"/>
      <w:divBdr>
        <w:top w:val="none" w:sz="0" w:space="0" w:color="auto"/>
        <w:left w:val="none" w:sz="0" w:space="0" w:color="auto"/>
        <w:bottom w:val="none" w:sz="0" w:space="0" w:color="auto"/>
        <w:right w:val="none" w:sz="0" w:space="0" w:color="auto"/>
      </w:divBdr>
    </w:div>
    <w:div w:id="1300575790">
      <w:bodyDiv w:val="1"/>
      <w:marLeft w:val="0"/>
      <w:marRight w:val="0"/>
      <w:marTop w:val="0"/>
      <w:marBottom w:val="0"/>
      <w:divBdr>
        <w:top w:val="none" w:sz="0" w:space="0" w:color="auto"/>
        <w:left w:val="none" w:sz="0" w:space="0" w:color="auto"/>
        <w:bottom w:val="none" w:sz="0" w:space="0" w:color="auto"/>
        <w:right w:val="none" w:sz="0" w:space="0" w:color="auto"/>
      </w:divBdr>
    </w:div>
    <w:div w:id="1476143873">
      <w:bodyDiv w:val="1"/>
      <w:marLeft w:val="0"/>
      <w:marRight w:val="0"/>
      <w:marTop w:val="0"/>
      <w:marBottom w:val="0"/>
      <w:divBdr>
        <w:top w:val="none" w:sz="0" w:space="0" w:color="auto"/>
        <w:left w:val="none" w:sz="0" w:space="0" w:color="auto"/>
        <w:bottom w:val="none" w:sz="0" w:space="0" w:color="auto"/>
        <w:right w:val="none" w:sz="0" w:space="0" w:color="auto"/>
      </w:divBdr>
    </w:div>
    <w:div w:id="1487166810">
      <w:bodyDiv w:val="1"/>
      <w:marLeft w:val="0"/>
      <w:marRight w:val="0"/>
      <w:marTop w:val="0"/>
      <w:marBottom w:val="0"/>
      <w:divBdr>
        <w:top w:val="none" w:sz="0" w:space="0" w:color="auto"/>
        <w:left w:val="none" w:sz="0" w:space="0" w:color="auto"/>
        <w:bottom w:val="none" w:sz="0" w:space="0" w:color="auto"/>
        <w:right w:val="none" w:sz="0" w:space="0" w:color="auto"/>
      </w:divBdr>
    </w:div>
    <w:div w:id="1489399277">
      <w:bodyDiv w:val="1"/>
      <w:marLeft w:val="0"/>
      <w:marRight w:val="0"/>
      <w:marTop w:val="0"/>
      <w:marBottom w:val="0"/>
      <w:divBdr>
        <w:top w:val="none" w:sz="0" w:space="0" w:color="auto"/>
        <w:left w:val="none" w:sz="0" w:space="0" w:color="auto"/>
        <w:bottom w:val="none" w:sz="0" w:space="0" w:color="auto"/>
        <w:right w:val="none" w:sz="0" w:space="0" w:color="auto"/>
      </w:divBdr>
    </w:div>
    <w:div w:id="1503886858">
      <w:bodyDiv w:val="1"/>
      <w:marLeft w:val="0"/>
      <w:marRight w:val="0"/>
      <w:marTop w:val="0"/>
      <w:marBottom w:val="0"/>
      <w:divBdr>
        <w:top w:val="none" w:sz="0" w:space="0" w:color="auto"/>
        <w:left w:val="none" w:sz="0" w:space="0" w:color="auto"/>
        <w:bottom w:val="none" w:sz="0" w:space="0" w:color="auto"/>
        <w:right w:val="none" w:sz="0" w:space="0" w:color="auto"/>
      </w:divBdr>
    </w:div>
    <w:div w:id="1525048918">
      <w:bodyDiv w:val="1"/>
      <w:marLeft w:val="0"/>
      <w:marRight w:val="0"/>
      <w:marTop w:val="0"/>
      <w:marBottom w:val="0"/>
      <w:divBdr>
        <w:top w:val="none" w:sz="0" w:space="0" w:color="auto"/>
        <w:left w:val="none" w:sz="0" w:space="0" w:color="auto"/>
        <w:bottom w:val="none" w:sz="0" w:space="0" w:color="auto"/>
        <w:right w:val="none" w:sz="0" w:space="0" w:color="auto"/>
      </w:divBdr>
    </w:div>
    <w:div w:id="1528637927">
      <w:bodyDiv w:val="1"/>
      <w:marLeft w:val="0"/>
      <w:marRight w:val="0"/>
      <w:marTop w:val="0"/>
      <w:marBottom w:val="0"/>
      <w:divBdr>
        <w:top w:val="none" w:sz="0" w:space="0" w:color="auto"/>
        <w:left w:val="none" w:sz="0" w:space="0" w:color="auto"/>
        <w:bottom w:val="none" w:sz="0" w:space="0" w:color="auto"/>
        <w:right w:val="none" w:sz="0" w:space="0" w:color="auto"/>
      </w:divBdr>
    </w:div>
    <w:div w:id="1577859332">
      <w:bodyDiv w:val="1"/>
      <w:marLeft w:val="0"/>
      <w:marRight w:val="0"/>
      <w:marTop w:val="0"/>
      <w:marBottom w:val="0"/>
      <w:divBdr>
        <w:top w:val="none" w:sz="0" w:space="0" w:color="auto"/>
        <w:left w:val="none" w:sz="0" w:space="0" w:color="auto"/>
        <w:bottom w:val="none" w:sz="0" w:space="0" w:color="auto"/>
        <w:right w:val="none" w:sz="0" w:space="0" w:color="auto"/>
      </w:divBdr>
    </w:div>
    <w:div w:id="1693802879">
      <w:bodyDiv w:val="1"/>
      <w:marLeft w:val="0"/>
      <w:marRight w:val="0"/>
      <w:marTop w:val="0"/>
      <w:marBottom w:val="0"/>
      <w:divBdr>
        <w:top w:val="none" w:sz="0" w:space="0" w:color="auto"/>
        <w:left w:val="none" w:sz="0" w:space="0" w:color="auto"/>
        <w:bottom w:val="none" w:sz="0" w:space="0" w:color="auto"/>
        <w:right w:val="none" w:sz="0" w:space="0" w:color="auto"/>
      </w:divBdr>
    </w:div>
    <w:div w:id="1870142974">
      <w:bodyDiv w:val="1"/>
      <w:marLeft w:val="0"/>
      <w:marRight w:val="0"/>
      <w:marTop w:val="0"/>
      <w:marBottom w:val="0"/>
      <w:divBdr>
        <w:top w:val="none" w:sz="0" w:space="0" w:color="auto"/>
        <w:left w:val="none" w:sz="0" w:space="0" w:color="auto"/>
        <w:bottom w:val="none" w:sz="0" w:space="0" w:color="auto"/>
        <w:right w:val="none" w:sz="0" w:space="0" w:color="auto"/>
      </w:divBdr>
    </w:div>
    <w:div w:id="189388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C1E64E77C87CB4AB62AED49CA024BC4" ma:contentTypeVersion="15" ma:contentTypeDescription="Create a new document." ma:contentTypeScope="" ma:versionID="7756b30ad576fe8cfb95d6c382ba9219">
  <xsd:schema xmlns:xsd="http://www.w3.org/2001/XMLSchema" xmlns:xs="http://www.w3.org/2001/XMLSchema" xmlns:p="http://schemas.microsoft.com/office/2006/metadata/properties" xmlns:ns2="38909fe9-b895-4ed6-be9b-84d788afd92a" xmlns:ns3="60197ed8-9889-469a-90ea-6cc1b3f8a79e" targetNamespace="http://schemas.microsoft.com/office/2006/metadata/properties" ma:root="true" ma:fieldsID="24e10b595ed1f75767998ca2a50cfa1f" ns2:_="" ns3:_="">
    <xsd:import namespace="38909fe9-b895-4ed6-be9b-84d788afd92a"/>
    <xsd:import namespace="60197ed8-9889-469a-90ea-6cc1b3f8a7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_dlc_DocId" minOccurs="0"/>
                <xsd:element ref="ns3:_dlc_DocIdUrl" minOccurs="0"/>
                <xsd:element ref="ns3:_dlc_DocIdPersistId" minOccurs="0"/>
                <xsd:element ref="ns2:MediaServiceBillingMetadata" minOccurs="0"/>
                <xsd:element ref="ns2:Containing_x0020_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09fe9-b895-4ed6-be9b-84d788afd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d2f2e8-eeb5-4bfc-b35b-a8309375db9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aining_x0020_Folder" ma:index="25" nillable="true" ma:displayName="Containing Folder" ma:description="Link to the folder where the file is stored" ma:indexed="true" ma:internalName="Containing_x0020_Fold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197ed8-9889-469a-90ea-6cc1b3f8a79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6f6e6c-1cbc-48c4-9500-4b4c7e778610}" ma:internalName="TaxCatchAll" ma:showField="CatchAllData" ma:web="60197ed8-9889-469a-90ea-6cc1b3f8a79e">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8909fe9-b895-4ed6-be9b-84d788afd92a">
      <Terms xmlns="http://schemas.microsoft.com/office/infopath/2007/PartnerControls"/>
    </lcf76f155ced4ddcb4097134ff3c332f>
    <TaxCatchAll xmlns="60197ed8-9889-469a-90ea-6cc1b3f8a79e" xsi:nil="true"/>
    <_dlc_DocId xmlns="60197ed8-9889-469a-90ea-6cc1b3f8a79e">WAPDOCS-260726917-971718</_dlc_DocId>
    <_dlc_DocIdUrl xmlns="60197ed8-9889-469a-90ea-6cc1b3f8a79e">
      <Url>https://wapsustainability.sharepoint.com/sites/WAP/_layouts/15/DocIdRedir.aspx?ID=WAPDOCS-260726917-971718</Url>
      <Description>WAPDOCS-260726917-971718</Description>
    </_dlc_DocIdUrl>
    <Containing_x0020_Folder xmlns="38909fe9-b895-4ed6-be9b-84d788afd92a"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CAACF5-2949-4E07-8581-0E55D71B43D5}">
  <ds:schemaRefs>
    <ds:schemaRef ds:uri="http://schemas.microsoft.com/sharepoint/events"/>
  </ds:schemaRefs>
</ds:datastoreItem>
</file>

<file path=customXml/itemProps2.xml><?xml version="1.0" encoding="utf-8"?>
<ds:datastoreItem xmlns:ds="http://schemas.openxmlformats.org/officeDocument/2006/customXml" ds:itemID="{D5909AD0-F58B-9D44-B74E-A3014DA97997}">
  <ds:schemaRefs>
    <ds:schemaRef ds:uri="http://schemas.openxmlformats.org/officeDocument/2006/bibliography"/>
  </ds:schemaRefs>
</ds:datastoreItem>
</file>

<file path=customXml/itemProps3.xml><?xml version="1.0" encoding="utf-8"?>
<ds:datastoreItem xmlns:ds="http://schemas.openxmlformats.org/officeDocument/2006/customXml" ds:itemID="{947C81C0-58A5-4F64-8890-69382D0282A5}"/>
</file>

<file path=customXml/itemProps4.xml><?xml version="1.0" encoding="utf-8"?>
<ds:datastoreItem xmlns:ds="http://schemas.openxmlformats.org/officeDocument/2006/customXml" ds:itemID="{5AEC010C-739A-4ACB-9402-13A13512387C}">
  <ds:schemaRefs>
    <ds:schemaRef ds:uri="http://schemas.microsoft.com/office/2006/metadata/properties"/>
    <ds:schemaRef ds:uri="http://schemas.microsoft.com/office/infopath/2007/PartnerControls"/>
    <ds:schemaRef ds:uri="38909fe9-b895-4ed6-be9b-84d788afd92a"/>
    <ds:schemaRef ds:uri="60197ed8-9889-469a-90ea-6cc1b3f8a79e"/>
  </ds:schemaRefs>
</ds:datastoreItem>
</file>

<file path=customXml/itemProps5.xml><?xml version="1.0" encoding="utf-8"?>
<ds:datastoreItem xmlns:ds="http://schemas.openxmlformats.org/officeDocument/2006/customXml" ds:itemID="{485C5A71-069C-48EE-84C6-1E1487BCB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Ursillo</dc:creator>
  <cp:keywords/>
  <dc:description/>
  <cp:lastModifiedBy>Jonathan Ursillo</cp:lastModifiedBy>
  <cp:revision>98</cp:revision>
  <dcterms:created xsi:type="dcterms:W3CDTF">2025-10-27T19:49:00Z</dcterms:created>
  <dcterms:modified xsi:type="dcterms:W3CDTF">2025-10-28T02:01:00Z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0x010100BC1E64E77C87CB4AB62AED49CA024BC4</vt:lpwstr>
  </property>
  <property fmtid="{D5CDD505-2E9C-101B-9397-08002B2CF9AE}" pid="3" name="_dlc_DocIdItemGuid">
    <vt:lpwstr>eeee8e29-6d71-4dd7-b1a8-f971c29bbf76</vt:lpwstr>
  </property>
  <property fmtid="{D5CDD505-2E9C-101B-9397-08002B2CF9AE}" pid="4" name="MediaServiceImageTags">
    <vt:lpwstr/>
  </property>
</Properties>
</file>