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8647267" w:rsidP="26D314EF" w:rsidRDefault="58647267" w14:paraId="4FD12BFE" w14:textId="490817E4">
      <w:pPr>
        <w:pStyle w:val="Normal"/>
        <w:jc w:val="center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26D314EF" w:rsidR="586472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California Corporate Greenhouse Gas Reporting Program: Scope 1 and Scope 2 Emissions Draft Reporting Template</w:t>
      </w:r>
    </w:p>
    <w:p xmlns:wp14="http://schemas.microsoft.com/office/word/2010/wordml" w:rsidP="26D314EF" wp14:paraId="3FFB7571" wp14:noSpellErr="1" wp14:textId="2493A202">
      <w:pPr>
        <w:pStyle w:val="Normal"/>
        <w:jc w:val="center"/>
        <w:rPr>
          <w:b w:val="1"/>
          <w:bCs w:val="1"/>
        </w:rPr>
      </w:pPr>
      <w:r w:rsidRPr="1B87CA17" w:rsidR="58647267">
        <w:rPr>
          <w:b w:val="1"/>
          <w:bCs w:val="1"/>
        </w:rPr>
        <w:t>CARB Comment Letter</w:t>
      </w:r>
      <w:r w:rsidRPr="1B87CA17" w:rsidR="2BC2B391">
        <w:rPr>
          <w:b w:val="1"/>
          <w:bCs w:val="1"/>
        </w:rPr>
        <w:t xml:space="preserve"> – California Water Service</w:t>
      </w:r>
    </w:p>
    <w:p w:rsidR="112CC9FC" w:rsidP="1B87CA17" w:rsidRDefault="112CC9FC" w14:paraId="1E704F7E" w14:textId="2A3A1DF0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B87CA17" w:rsidR="112CC9F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Cal Water appreciates the opportunity to comment on CARB’s Scope 1 and Scope 2 Emissions Draft Reporting Template. </w:t>
      </w:r>
      <w:r w:rsidRPr="1B87CA17" w:rsidR="5AD78F15">
        <w:rPr>
          <w:rFonts w:ascii="Aptos" w:hAnsi="Aptos" w:eastAsia="Aptos" w:cs="Aptos"/>
          <w:noProof w:val="0"/>
          <w:sz w:val="24"/>
          <w:szCs w:val="24"/>
          <w:lang w:val="en-US"/>
        </w:rPr>
        <w:t>Cal Water</w:t>
      </w:r>
      <w:r w:rsidRPr="1B87CA17" w:rsidR="24B71575">
        <w:rPr>
          <w:rFonts w:ascii="Aptos" w:hAnsi="Aptos" w:eastAsia="Aptos" w:cs="Aptos"/>
          <w:noProof w:val="0"/>
          <w:sz w:val="24"/>
          <w:szCs w:val="24"/>
          <w:lang w:val="en-US"/>
        </w:rPr>
        <w:t>’s comments based on specific questions within the California Corporate Greenhouse Gas Reporting Program: Scope 1 and Scope 2 Emissions Draft Reporting Template memo (10 October 202</w:t>
      </w:r>
      <w:r w:rsidRPr="1B87CA17" w:rsidR="52E953DB">
        <w:rPr>
          <w:rFonts w:ascii="Aptos" w:hAnsi="Aptos" w:eastAsia="Aptos" w:cs="Aptos"/>
          <w:noProof w:val="0"/>
          <w:sz w:val="24"/>
          <w:szCs w:val="24"/>
          <w:lang w:val="en-US"/>
        </w:rPr>
        <w:t>5), as well as specific line items, are below.</w:t>
      </w:r>
    </w:p>
    <w:p w:rsidR="2694E235" w:rsidP="1B87CA17" w:rsidRDefault="2694E235" w14:paraId="68CF390A" w14:textId="1BE2BE8A">
      <w:pPr>
        <w:pStyle w:val="Normal"/>
        <w:rPr>
          <w:b w:val="1"/>
          <w:bCs w:val="1"/>
        </w:rPr>
      </w:pPr>
      <w:r w:rsidRPr="1B87CA17" w:rsidR="2694E235">
        <w:rPr>
          <w:b w:val="1"/>
          <w:bCs w:val="1"/>
        </w:rPr>
        <w:t>1. Disclosure by Source vs. Gas</w:t>
      </w:r>
    </w:p>
    <w:p w:rsidR="2694E235" w:rsidP="1B87CA17" w:rsidRDefault="2694E235" w14:paraId="36B523C5" w14:textId="0BA5757B">
      <w:pPr>
        <w:pStyle w:val="Normal"/>
        <w:rPr>
          <w:b w:val="0"/>
          <w:bCs w:val="0"/>
        </w:rPr>
      </w:pPr>
      <w:r w:rsidR="2694E235">
        <w:rPr>
          <w:b w:val="0"/>
          <w:bCs w:val="0"/>
        </w:rPr>
        <w:t>We recommend CARB focus on disclosure by source, as the categories are readily defined under Scope 1 and Scope 2</w:t>
      </w:r>
      <w:r w:rsidR="1EC0A9B2">
        <w:rPr>
          <w:b w:val="0"/>
          <w:bCs w:val="0"/>
        </w:rPr>
        <w:t>, and</w:t>
      </w:r>
      <w:r w:rsidR="40580D97">
        <w:rPr>
          <w:b w:val="0"/>
          <w:bCs w:val="0"/>
        </w:rPr>
        <w:t xml:space="preserve"> </w:t>
      </w:r>
      <w:r w:rsidR="2E6A5878">
        <w:rPr>
          <w:b w:val="0"/>
          <w:bCs w:val="0"/>
        </w:rPr>
        <w:t>t</w:t>
      </w:r>
      <w:r w:rsidR="40580D97">
        <w:rPr>
          <w:b w:val="0"/>
          <w:bCs w:val="0"/>
        </w:rPr>
        <w:t>he</w:t>
      </w:r>
      <w:r w:rsidR="40580D97">
        <w:rPr>
          <w:b w:val="0"/>
          <w:bCs w:val="0"/>
        </w:rPr>
        <w:t xml:space="preserve"> d</w:t>
      </w:r>
      <w:r w:rsidR="2694E235">
        <w:rPr>
          <w:b w:val="0"/>
          <w:bCs w:val="0"/>
        </w:rPr>
        <w:t xml:space="preserve">ata can be </w:t>
      </w:r>
      <w:r w:rsidR="2694E235">
        <w:rPr>
          <w:b w:val="0"/>
          <w:bCs w:val="0"/>
        </w:rPr>
        <w:t>consolidated</w:t>
      </w:r>
      <w:r w:rsidR="2694E235">
        <w:rPr>
          <w:b w:val="0"/>
          <w:bCs w:val="0"/>
        </w:rPr>
        <w:t xml:space="preserve"> in mt</w:t>
      </w:r>
      <w:r w:rsidR="32180069">
        <w:rPr>
          <w:b w:val="0"/>
          <w:bCs w:val="0"/>
        </w:rPr>
        <w:t>CO</w:t>
      </w:r>
      <w:r w:rsidRPr="1B87CA17" w:rsidR="32180069">
        <w:rPr>
          <w:b w:val="0"/>
          <w:bCs w:val="0"/>
          <w:vertAlign w:val="subscript"/>
        </w:rPr>
        <w:t>2</w:t>
      </w:r>
      <w:r w:rsidR="32180069">
        <w:rPr>
          <w:b w:val="0"/>
          <w:bCs w:val="0"/>
        </w:rPr>
        <w:t xml:space="preserve">e, </w:t>
      </w:r>
      <w:r w:rsidR="72ECEF2C">
        <w:rPr>
          <w:b w:val="0"/>
          <w:bCs w:val="0"/>
        </w:rPr>
        <w:t>which is more readily comparable across companies than individual gases.</w:t>
      </w:r>
    </w:p>
    <w:p w:rsidR="58647267" w:rsidP="1B87CA17" w:rsidRDefault="58647267" w14:paraId="4345580A" w14:textId="0D0D32C9">
      <w:pPr>
        <w:pStyle w:val="Normal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1B87CA17" w:rsidR="58647267">
        <w:rPr>
          <w:b w:val="1"/>
          <w:bCs w:val="1"/>
        </w:rPr>
        <w:t xml:space="preserve">2. </w:t>
      </w:r>
      <w:r w:rsidRPr="1B87CA17" w:rsidR="586472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Organizational Boundaries</w:t>
      </w:r>
    </w:p>
    <w:p w:rsidR="58647267" w:rsidP="1B87CA17" w:rsidRDefault="58647267" w14:paraId="102915C9" w14:textId="3FC303A4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 recommend that CARB 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>retain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flexibility for reporting entities to select their organizational boundary approach, consistent with the Greenhouse Gas Protocol. The GHG</w:t>
      </w:r>
      <w:r w:rsidRPr="1B87CA17" w:rsidR="0B771C9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Protocol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’s </w:t>
      </w:r>
      <w:r w:rsidRPr="1B87CA17" w:rsidR="2912FE48">
        <w:rPr>
          <w:rFonts w:ascii="Aptos" w:hAnsi="Aptos" w:eastAsia="Aptos" w:cs="Aptos"/>
          <w:noProof w:val="0"/>
          <w:sz w:val="24"/>
          <w:szCs w:val="24"/>
          <w:lang w:val="en-US"/>
        </w:rPr>
        <w:t>boundary recommendation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>s</w:t>
      </w:r>
      <w:r w:rsidRPr="1B87CA17" w:rsidR="167F6C9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reflect the diversity of corporate structures and ensure that reporting entities can accurately 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>represent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their operations. Mandating a single approach would create unnecessary complexity and could conflict with existing global standards</w:t>
      </w:r>
      <w:r w:rsidRPr="1B87CA17" w:rsidR="4562C7F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calculation methodologies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>, increasing the reporting burden for companies already subject to multiple climate disclosure frameworks.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>Maintaining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B87CA17" w:rsidR="1A47E9AE">
        <w:rPr>
          <w:rFonts w:ascii="Aptos" w:hAnsi="Aptos" w:eastAsia="Aptos" w:cs="Aptos"/>
          <w:noProof w:val="0"/>
          <w:sz w:val="24"/>
          <w:szCs w:val="24"/>
          <w:lang w:val="en-US"/>
        </w:rPr>
        <w:t>boundary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flexibility is consistent with </w:t>
      </w:r>
      <w:r w:rsidRPr="1B87CA17" w:rsidR="67969A01">
        <w:rPr>
          <w:rFonts w:ascii="Aptos" w:hAnsi="Aptos" w:eastAsia="Aptos" w:cs="Aptos"/>
          <w:noProof w:val="0"/>
          <w:sz w:val="24"/>
          <w:szCs w:val="24"/>
          <w:lang w:val="en-US"/>
        </w:rPr>
        <w:t>our prior comments to CARB,</w:t>
      </w:r>
      <w:r w:rsidRPr="1B87CA17" w:rsidR="586472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with how companies </w:t>
      </w:r>
      <w:r w:rsidRPr="1B87CA17" w:rsidR="2C9DE38D">
        <w:rPr>
          <w:rFonts w:ascii="Aptos" w:hAnsi="Aptos" w:eastAsia="Aptos" w:cs="Aptos"/>
          <w:noProof w:val="0"/>
          <w:sz w:val="24"/>
          <w:szCs w:val="24"/>
          <w:lang w:val="en-US"/>
        </w:rPr>
        <w:t>currently approach sustainability-related disclosures under the GHG Protocol guidance.</w:t>
      </w:r>
    </w:p>
    <w:p w:rsidR="32398EA7" w:rsidP="1B87CA17" w:rsidRDefault="32398EA7" w14:paraId="1122B485" w14:textId="2B713799">
      <w:pPr>
        <w:pStyle w:val="Normal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1B87CA17" w:rsidR="32398E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Regarding</w:t>
      </w:r>
      <w:r w:rsidRPr="1B87CA17" w:rsidR="32398E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Template</w:t>
      </w:r>
    </w:p>
    <w:p w:rsidR="32398EA7" w:rsidP="1B87CA17" w:rsidRDefault="32398EA7" w14:paraId="318AC418" w14:textId="18D70E1F">
      <w:pPr>
        <w:pStyle w:val="Normal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1B87CA17" w:rsidR="32398EA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Cal Water acknowledges that first-time reporters may find the template helpful. However, many companies with mature reporting programs already </w:t>
      </w:r>
      <w:r w:rsidRPr="1B87CA17" w:rsidR="32398EA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disclose</w:t>
      </w:r>
      <w:r w:rsidRPr="1B87CA17" w:rsidR="32398EA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emissions data in</w:t>
      </w:r>
      <w:r w:rsidRPr="1B87CA17" w:rsidR="63E816E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publications like</w:t>
      </w:r>
      <w:r w:rsidRPr="1B87CA17" w:rsidR="32398EA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sustainability report</w:t>
      </w:r>
      <w:r w:rsidRPr="1B87CA17" w:rsidR="51FA054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s</w:t>
      </w:r>
      <w:r w:rsidRPr="1B87CA17" w:rsidR="32398EA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, sustainability data publications</w:t>
      </w:r>
      <w:r w:rsidRPr="1B87CA17" w:rsidR="61D7869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, and CDP</w:t>
      </w:r>
      <w:r w:rsidRPr="1B87CA17" w:rsidR="59B9F50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responses</w:t>
      </w:r>
      <w:r w:rsidRPr="1B87CA17" w:rsidR="61D7869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. For these entities, using the template is a</w:t>
      </w:r>
      <w:r w:rsidRPr="1B87CA17" w:rsidR="7C32529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duplicative</w:t>
      </w:r>
      <w:r w:rsidRPr="1B87CA17" w:rsidR="61D7869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logistical hurdle.</w:t>
      </w:r>
    </w:p>
    <w:p w:rsidR="61D7869C" w:rsidP="1B87CA17" w:rsidRDefault="61D7869C" w14:paraId="3527B31F" w14:textId="44854629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1B87CA17" w:rsidR="61D78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Feedback on Template Rows</w:t>
      </w:r>
      <w:r w:rsidRPr="1B87CA17" w:rsidR="61D78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(based on the </w:t>
      </w:r>
      <w:r w:rsidRPr="1B87CA17" w:rsidR="61D78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SB253_Draft_Scope1_2_GHG_Template published 10 October 2025)</w:t>
      </w:r>
    </w:p>
    <w:p w:rsidR="3D2E8355" w:rsidP="1B87CA17" w:rsidRDefault="3D2E8355" w14:paraId="4A99672D" w14:textId="68C40DE7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1B87CA17" w:rsidR="3D2E835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Row 26: </w:t>
      </w:r>
      <w:r w:rsidRPr="1B87CA17" w:rsidR="47B1980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Cal Water recommends that CARB further define or simplify the requirement for “entities or facilities.” </w:t>
      </w:r>
      <w:r w:rsidRPr="1B87CA17" w:rsidR="0ABE7E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For example, California Water Service Group cannot </w:t>
      </w:r>
      <w:r w:rsidRPr="1B87CA17" w:rsidR="0ABE7E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disclose</w:t>
      </w:r>
      <w:r w:rsidRPr="1B87CA17" w:rsidR="0ABE7E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the thousands of facilities it </w:t>
      </w:r>
      <w:r w:rsidRPr="1B87CA17" w:rsidR="0ABE7E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operates</w:t>
      </w:r>
      <w:r w:rsidRPr="1B87CA17" w:rsidR="0ABE7E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, but a breakdown of</w:t>
      </w:r>
      <w:r w:rsidRPr="1B87CA17" w:rsidR="626AC7E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our</w:t>
      </w:r>
      <w:r w:rsidRPr="1B87CA17" w:rsidR="0ABE7E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entities</w:t>
      </w:r>
      <w:r w:rsidRPr="1B87CA17" w:rsidR="39FECA6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(i.e., subsidiaries)</w:t>
      </w:r>
      <w:r w:rsidRPr="1B87CA17" w:rsidR="0ABE7E4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, consistent with other reporting (e.g., 10-K), is practical.</w:t>
      </w:r>
    </w:p>
    <w:p w:rsidR="3FF96928" w:rsidP="1B87CA17" w:rsidRDefault="3FF96928" w14:paraId="1FA9D5DC" w14:textId="10277ABD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1B87CA17" w:rsidR="3FF9692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Row 55-57: Can CARB please clarify its request for detailed </w:t>
      </w:r>
      <w:r w:rsidRPr="1B87CA17" w:rsidR="3FF9692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purchased</w:t>
      </w:r>
      <w:r w:rsidRPr="1B87CA17" w:rsidR="3FF9692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steam</w:t>
      </w:r>
      <w:r w:rsidRPr="1B87CA17" w:rsidR="29E8C42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data</w:t>
      </w:r>
      <w:r w:rsidRPr="1B87CA17" w:rsidR="3FF9692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? Indirect emissions are more li</w:t>
      </w:r>
      <w:r w:rsidRPr="1B87CA17" w:rsidR="2F12923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kely to stem from electricity for many companies.</w:t>
      </w:r>
    </w:p>
    <w:p w:rsidR="2F12923F" w:rsidP="1B87CA17" w:rsidRDefault="2F12923F" w14:paraId="7F9D7592" w14:textId="069CFF79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1B87CA17" w:rsidR="2F12923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Row 61: </w:t>
      </w:r>
      <w:r w:rsidRPr="1B87CA17" w:rsidR="677DC85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Please clarify the guidance for</w:t>
      </w:r>
      <w:r w:rsidRPr="1B87CA17" w:rsidR="40E850E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Scope 1 </w:t>
      </w:r>
      <w:r w:rsidRPr="1B87CA17" w:rsidR="40E850E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combustion</w:t>
      </w:r>
      <w:r w:rsidRPr="1B87CA17" w:rsidR="677DC85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b</w:t>
      </w:r>
      <w:r w:rsidRPr="1B87CA17" w:rsidR="2F12923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iogenic </w:t>
      </w:r>
      <w:r w:rsidRPr="1B87CA17" w:rsidR="53FE089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CO</w:t>
      </w:r>
      <w:r w:rsidRPr="1B87CA17" w:rsidR="53FE0899">
        <w:rPr>
          <w:rFonts w:ascii="Aptos" w:hAnsi="Aptos" w:eastAsia="Aptos" w:cs="Aptos"/>
          <w:b w:val="0"/>
          <w:bCs w:val="0"/>
          <w:noProof w:val="0"/>
          <w:sz w:val="24"/>
          <w:szCs w:val="24"/>
          <w:vertAlign w:val="subscript"/>
          <w:lang w:val="en-US"/>
        </w:rPr>
        <w:t>2</w:t>
      </w:r>
      <w:r w:rsidRPr="1B87CA17" w:rsidR="53FE089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1B87CA17" w:rsidR="2F12923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emissions</w:t>
      </w:r>
      <w:r w:rsidRPr="1B87CA17" w:rsidR="36F0E5C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. </w:t>
      </w:r>
      <w:r w:rsidRPr="1B87CA17" w:rsidR="20E7A59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Is this detailed breakdown </w:t>
      </w:r>
      <w:r w:rsidRPr="1B87CA17" w:rsidR="78E5C0C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specifically </w:t>
      </w:r>
      <w:r w:rsidRPr="1B87CA17" w:rsidR="26AEB23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targeting</w:t>
      </w:r>
      <w:r w:rsidRPr="1B87CA17" w:rsidR="78E5C0C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bio-based fuel (e.g., renewable diesel) combustion? Biogenic CO</w:t>
      </w:r>
      <w:r w:rsidRPr="1B87CA17" w:rsidR="78E5C0CD">
        <w:rPr>
          <w:rFonts w:ascii="Aptos" w:hAnsi="Aptos" w:eastAsia="Aptos" w:cs="Aptos"/>
          <w:b w:val="0"/>
          <w:bCs w:val="0"/>
          <w:noProof w:val="0"/>
          <w:sz w:val="24"/>
          <w:szCs w:val="24"/>
          <w:vertAlign w:val="subscript"/>
          <w:lang w:val="en-US"/>
        </w:rPr>
        <w:t>2</w:t>
      </w:r>
      <w:r w:rsidRPr="1B87CA17" w:rsidR="78E5C0C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is reported outside of Scope 1 as a separate emissions </w:t>
      </w:r>
      <w:r w:rsidRPr="1B87CA17" w:rsidR="39A7E19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category</w:t>
      </w:r>
      <w:r w:rsidRPr="1B87CA17" w:rsidR="78E5C0C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.</w:t>
      </w:r>
    </w:p>
    <w:p w:rsidR="7C63A1E3" w:rsidP="1B87CA17" w:rsidRDefault="7C63A1E3" w14:paraId="07AF41A7" w14:textId="32A23FA8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noProof w:val="0"/>
          <w:sz w:val="24"/>
          <w:szCs w:val="24"/>
          <w:vertAlign w:val="baseline"/>
          <w:lang w:val="en-US"/>
        </w:rPr>
      </w:pPr>
      <w:r w:rsidRPr="1B87CA17" w:rsidR="7C63A1E3">
        <w:rPr>
          <w:rFonts w:ascii="Aptos" w:hAnsi="Aptos" w:eastAsia="Aptos" w:cs="Aptos"/>
          <w:b w:val="0"/>
          <w:bCs w:val="0"/>
          <w:noProof w:val="0"/>
          <w:sz w:val="24"/>
          <w:szCs w:val="24"/>
          <w:vertAlign w:val="baseline"/>
          <w:lang w:val="en-US"/>
        </w:rPr>
        <w:t xml:space="preserve">Row 62: We recommend CARB consider a </w:t>
      </w:r>
      <w:r w:rsidRPr="1B87CA17" w:rsidR="7C63A1E3">
        <w:rPr>
          <w:rFonts w:ascii="Aptos" w:hAnsi="Aptos" w:eastAsia="Aptos" w:cs="Aptos"/>
          <w:b w:val="0"/>
          <w:bCs w:val="0"/>
          <w:noProof w:val="0"/>
          <w:sz w:val="24"/>
          <w:szCs w:val="24"/>
          <w:vertAlign w:val="baseline"/>
          <w:lang w:val="en-US"/>
        </w:rPr>
        <w:t>free-text</w:t>
      </w:r>
      <w:r w:rsidRPr="1B87CA17" w:rsidR="7C63A1E3">
        <w:rPr>
          <w:rFonts w:ascii="Aptos" w:hAnsi="Aptos" w:eastAsia="Aptos" w:cs="Aptos"/>
          <w:b w:val="0"/>
          <w:bCs w:val="0"/>
          <w:noProof w:val="0"/>
          <w:sz w:val="24"/>
          <w:szCs w:val="24"/>
          <w:vertAlign w:val="baseline"/>
          <w:lang w:val="en-US"/>
        </w:rPr>
        <w:t xml:space="preserve"> rather than a dropdown menu to allow </w:t>
      </w:r>
      <w:r w:rsidRPr="1B87CA17" w:rsidR="6893541C">
        <w:rPr>
          <w:rFonts w:ascii="Aptos" w:hAnsi="Aptos" w:eastAsia="Aptos" w:cs="Aptos"/>
          <w:b w:val="0"/>
          <w:bCs w:val="0"/>
          <w:noProof w:val="0"/>
          <w:sz w:val="24"/>
          <w:szCs w:val="24"/>
          <w:vertAlign w:val="baseline"/>
          <w:lang w:val="en-US"/>
        </w:rPr>
        <w:t xml:space="preserve">greater </w:t>
      </w:r>
      <w:r w:rsidRPr="1B87CA17" w:rsidR="7C63A1E3">
        <w:rPr>
          <w:rFonts w:ascii="Aptos" w:hAnsi="Aptos" w:eastAsia="Aptos" w:cs="Aptos"/>
          <w:b w:val="0"/>
          <w:bCs w:val="0"/>
          <w:noProof w:val="0"/>
          <w:sz w:val="24"/>
          <w:szCs w:val="24"/>
          <w:vertAlign w:val="baseline"/>
          <w:lang w:val="en-US"/>
        </w:rPr>
        <w:t xml:space="preserve">flexibility </w:t>
      </w:r>
      <w:r w:rsidRPr="1B87CA17" w:rsidR="398683ED">
        <w:rPr>
          <w:rFonts w:ascii="Aptos" w:hAnsi="Aptos" w:eastAsia="Aptos" w:cs="Aptos"/>
          <w:b w:val="0"/>
          <w:bCs w:val="0"/>
          <w:noProof w:val="0"/>
          <w:sz w:val="24"/>
          <w:szCs w:val="24"/>
          <w:vertAlign w:val="baseline"/>
          <w:lang w:val="en-US"/>
        </w:rPr>
        <w:t>in emissions factor reporting</w:t>
      </w:r>
      <w:r w:rsidRPr="1B87CA17" w:rsidR="0D797604">
        <w:rPr>
          <w:rFonts w:ascii="Aptos" w:hAnsi="Aptos" w:eastAsia="Aptos" w:cs="Aptos"/>
          <w:b w:val="0"/>
          <w:bCs w:val="0"/>
          <w:noProof w:val="0"/>
          <w:sz w:val="24"/>
          <w:szCs w:val="24"/>
          <w:vertAlign w:val="baseline"/>
          <w:lang w:val="en-US"/>
        </w:rPr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F5438A"/>
    <w:rsid w:val="086049F1"/>
    <w:rsid w:val="08D4EAF6"/>
    <w:rsid w:val="0ABE7E45"/>
    <w:rsid w:val="0B771C94"/>
    <w:rsid w:val="0C93E984"/>
    <w:rsid w:val="0D797604"/>
    <w:rsid w:val="0E360C94"/>
    <w:rsid w:val="0F358DEC"/>
    <w:rsid w:val="112CC9FC"/>
    <w:rsid w:val="11F664A9"/>
    <w:rsid w:val="1368D29D"/>
    <w:rsid w:val="167F6C95"/>
    <w:rsid w:val="19059327"/>
    <w:rsid w:val="1A47E9AE"/>
    <w:rsid w:val="1B830607"/>
    <w:rsid w:val="1B87CA17"/>
    <w:rsid w:val="1C54E6D9"/>
    <w:rsid w:val="1CD5B893"/>
    <w:rsid w:val="1E3D577E"/>
    <w:rsid w:val="1EC0A9B2"/>
    <w:rsid w:val="20DCADDF"/>
    <w:rsid w:val="20E7A59F"/>
    <w:rsid w:val="21D82399"/>
    <w:rsid w:val="24A7FEE2"/>
    <w:rsid w:val="24B71575"/>
    <w:rsid w:val="2694E235"/>
    <w:rsid w:val="26AEB232"/>
    <w:rsid w:val="26D314EF"/>
    <w:rsid w:val="2849735C"/>
    <w:rsid w:val="2912FE48"/>
    <w:rsid w:val="29281110"/>
    <w:rsid w:val="29E8C420"/>
    <w:rsid w:val="2A2AD444"/>
    <w:rsid w:val="2B7B0B67"/>
    <w:rsid w:val="2BC2B391"/>
    <w:rsid w:val="2C9DE38D"/>
    <w:rsid w:val="2CA400CF"/>
    <w:rsid w:val="2D61FBFC"/>
    <w:rsid w:val="2E6A5878"/>
    <w:rsid w:val="2F12923F"/>
    <w:rsid w:val="30DA8B8A"/>
    <w:rsid w:val="31FF4ED7"/>
    <w:rsid w:val="32180069"/>
    <w:rsid w:val="32398EA7"/>
    <w:rsid w:val="33ACC997"/>
    <w:rsid w:val="359CEBC5"/>
    <w:rsid w:val="36F0E5CE"/>
    <w:rsid w:val="36F5438A"/>
    <w:rsid w:val="36F9AE3C"/>
    <w:rsid w:val="398683ED"/>
    <w:rsid w:val="39A7E194"/>
    <w:rsid w:val="39FECA68"/>
    <w:rsid w:val="3CDAFC7B"/>
    <w:rsid w:val="3D2E8355"/>
    <w:rsid w:val="3FF96928"/>
    <w:rsid w:val="40580D97"/>
    <w:rsid w:val="40E850EE"/>
    <w:rsid w:val="40ED613F"/>
    <w:rsid w:val="419882AD"/>
    <w:rsid w:val="45416985"/>
    <w:rsid w:val="4562C7FA"/>
    <w:rsid w:val="47B1980D"/>
    <w:rsid w:val="4AA82919"/>
    <w:rsid w:val="4BB7A4E6"/>
    <w:rsid w:val="4BC14F5D"/>
    <w:rsid w:val="4EAEDF04"/>
    <w:rsid w:val="4F1EAF87"/>
    <w:rsid w:val="4F6087B8"/>
    <w:rsid w:val="517C2864"/>
    <w:rsid w:val="51FA0547"/>
    <w:rsid w:val="52E953DB"/>
    <w:rsid w:val="533312CF"/>
    <w:rsid w:val="53A915F4"/>
    <w:rsid w:val="53FE0899"/>
    <w:rsid w:val="544C6AAA"/>
    <w:rsid w:val="55378DC1"/>
    <w:rsid w:val="55E91EE9"/>
    <w:rsid w:val="56532713"/>
    <w:rsid w:val="56E9D044"/>
    <w:rsid w:val="58647267"/>
    <w:rsid w:val="598026B8"/>
    <w:rsid w:val="59B2E740"/>
    <w:rsid w:val="59B9F50B"/>
    <w:rsid w:val="5AD78F15"/>
    <w:rsid w:val="5BE3E0BD"/>
    <w:rsid w:val="5DD9EFB8"/>
    <w:rsid w:val="5E636ADF"/>
    <w:rsid w:val="60A4DADC"/>
    <w:rsid w:val="61C63500"/>
    <w:rsid w:val="61D7869C"/>
    <w:rsid w:val="626AC7E9"/>
    <w:rsid w:val="632F138D"/>
    <w:rsid w:val="63E816E5"/>
    <w:rsid w:val="640D9401"/>
    <w:rsid w:val="6460660F"/>
    <w:rsid w:val="64842231"/>
    <w:rsid w:val="677DC852"/>
    <w:rsid w:val="67969A01"/>
    <w:rsid w:val="68792DB4"/>
    <w:rsid w:val="6882C141"/>
    <w:rsid w:val="6893541C"/>
    <w:rsid w:val="6CBE2DF6"/>
    <w:rsid w:val="6F5C0D11"/>
    <w:rsid w:val="72A611C9"/>
    <w:rsid w:val="72ECEF2C"/>
    <w:rsid w:val="75325C65"/>
    <w:rsid w:val="75892691"/>
    <w:rsid w:val="75D6BB69"/>
    <w:rsid w:val="7685935D"/>
    <w:rsid w:val="78AED0DF"/>
    <w:rsid w:val="78E5C0CD"/>
    <w:rsid w:val="7B559D84"/>
    <w:rsid w:val="7B9E7CDC"/>
    <w:rsid w:val="7BD97093"/>
    <w:rsid w:val="7C325295"/>
    <w:rsid w:val="7C63A1E3"/>
    <w:rsid w:val="7EC7A3B4"/>
    <w:rsid w:val="7FE6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5438A"/>
  <w15:chartTrackingRefBased/>
  <w15:docId w15:val="{E6A89128-29A2-4993-BF13-8BFFDF2565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07FF5ABEA0CA4EABAF72B444B6D133" ma:contentTypeVersion="15" ma:contentTypeDescription="Create a new document." ma:contentTypeScope="" ma:versionID="6947a9c560eb90faf669040ee0959714">
  <xsd:schema xmlns:xsd="http://www.w3.org/2001/XMLSchema" xmlns:xs="http://www.w3.org/2001/XMLSchema" xmlns:p="http://schemas.microsoft.com/office/2006/metadata/properties" xmlns:ns2="b200b0ab-cf0f-4f45-b5b5-0edaa0d5c335" xmlns:ns3="dc1d30d3-f01f-4aab-ad15-17701bb520e0" targetNamespace="http://schemas.microsoft.com/office/2006/metadata/properties" ma:root="true" ma:fieldsID="8ba7e2409999cd55422586128f86a3a7" ns2:_="" ns3:_="">
    <xsd:import namespace="b200b0ab-cf0f-4f45-b5b5-0edaa0d5c335"/>
    <xsd:import namespace="dc1d30d3-f01f-4aab-ad15-17701bb520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0b0ab-cf0f-4f45-b5b5-0edaa0d5c3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0193ec1-a4ff-4e3f-81dd-acc6b8bcf0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d30d3-f01f-4aab-ad15-17701bb520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d0111e9-db88-4cbd-9ee4-7ac6c36090f2}" ma:internalName="TaxCatchAll" ma:showField="CatchAllData" ma:web="dc1d30d3-f01f-4aab-ad15-17701bb520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1d30d3-f01f-4aab-ad15-17701bb520e0" xsi:nil="true"/>
    <lcf76f155ced4ddcb4097134ff3c332f xmlns="b200b0ab-cf0f-4f45-b5b5-0edaa0d5c33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F9DD72-F939-46CE-B3AA-1B42A26DA203}"/>
</file>

<file path=customXml/itemProps2.xml><?xml version="1.0" encoding="utf-8"?>
<ds:datastoreItem xmlns:ds="http://schemas.openxmlformats.org/officeDocument/2006/customXml" ds:itemID="{D82E8B95-8275-44C3-B531-588B768C232D}"/>
</file>

<file path=customXml/itemProps3.xml><?xml version="1.0" encoding="utf-8"?>
<ds:datastoreItem xmlns:ds="http://schemas.openxmlformats.org/officeDocument/2006/customXml" ds:itemID="{F0B8CDD1-5C49-4C07-A00C-EB4857228E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Esperanza, AJ</dc:creator>
  <cp:keywords/>
  <dc:description/>
  <cp:lastModifiedBy>Warren, Nathan</cp:lastModifiedBy>
  <dcterms:created xsi:type="dcterms:W3CDTF">2025-10-27T17:45:55Z</dcterms:created>
  <dcterms:modified xsi:type="dcterms:W3CDTF">2025-10-27T21:51:07Z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0x010100C007FF5ABEA0CA4EABAF72B444B6D133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