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7A509F" w14:textId="2072922C" w:rsidR="00DA28CC" w:rsidRPr="00532757" w:rsidRDefault="0DF5C33B" w:rsidP="2347C693">
      <w:pPr>
        <w:spacing w:before="240" w:after="240"/>
        <w:rPr>
          <w:rFonts w:ascii="Aptos" w:eastAsia="Aptos" w:hAnsi="Aptos" w:cs="Aptos"/>
          <w:b/>
          <w:bCs/>
        </w:rPr>
      </w:pPr>
      <w:r w:rsidRPr="00532757">
        <w:rPr>
          <w:rFonts w:ascii="Aptos" w:eastAsia="Aptos" w:hAnsi="Aptos" w:cs="Aptos"/>
          <w:b/>
          <w:bCs/>
        </w:rPr>
        <w:t>Definition of “</w:t>
      </w:r>
      <w:r w:rsidR="0011623D">
        <w:rPr>
          <w:rFonts w:ascii="Aptos" w:eastAsia="Aptos" w:hAnsi="Aptos" w:cs="Aptos"/>
          <w:b/>
          <w:bCs/>
        </w:rPr>
        <w:t>T</w:t>
      </w:r>
      <w:r w:rsidR="50891B7B" w:rsidRPr="00532757">
        <w:rPr>
          <w:rFonts w:ascii="Aptos" w:eastAsia="Aptos" w:hAnsi="Aptos" w:cs="Aptos"/>
          <w:b/>
          <w:bCs/>
        </w:rPr>
        <w:t xml:space="preserve">otal </w:t>
      </w:r>
      <w:r w:rsidR="0011623D">
        <w:rPr>
          <w:rFonts w:ascii="Aptos" w:eastAsia="Aptos" w:hAnsi="Aptos" w:cs="Aptos"/>
          <w:b/>
          <w:bCs/>
        </w:rPr>
        <w:t>A</w:t>
      </w:r>
      <w:r w:rsidR="50891B7B" w:rsidRPr="00532757">
        <w:rPr>
          <w:rFonts w:ascii="Aptos" w:eastAsia="Aptos" w:hAnsi="Aptos" w:cs="Aptos"/>
          <w:b/>
          <w:bCs/>
        </w:rPr>
        <w:t xml:space="preserve">nnual </w:t>
      </w:r>
      <w:r w:rsidR="0011623D">
        <w:rPr>
          <w:rFonts w:ascii="Aptos" w:eastAsia="Aptos" w:hAnsi="Aptos" w:cs="Aptos"/>
          <w:b/>
          <w:bCs/>
        </w:rPr>
        <w:t>R</w:t>
      </w:r>
      <w:r w:rsidRPr="00532757">
        <w:rPr>
          <w:rFonts w:ascii="Aptos" w:eastAsia="Aptos" w:hAnsi="Aptos" w:cs="Aptos"/>
          <w:b/>
          <w:bCs/>
        </w:rPr>
        <w:t>evenue”</w:t>
      </w:r>
    </w:p>
    <w:p w14:paraId="31F43C5E" w14:textId="6A729AA6" w:rsidR="004D4540" w:rsidRPr="001C3E8C" w:rsidRDefault="5FFD22AD" w:rsidP="2347C693">
      <w:pPr>
        <w:spacing w:before="240" w:after="240"/>
        <w:rPr>
          <w:rFonts w:ascii="Aptos" w:eastAsia="Aptos" w:hAnsi="Aptos" w:cs="Aptos"/>
          <w:color w:val="FF0000"/>
        </w:rPr>
      </w:pPr>
      <w:r w:rsidRPr="001C3E8C">
        <w:rPr>
          <w:rFonts w:ascii="Aptos" w:eastAsia="Aptos" w:hAnsi="Aptos" w:cs="Aptos"/>
        </w:rPr>
        <w:t>We recommend that the CARB defines “total annual revenue”</w:t>
      </w:r>
      <w:r w:rsidR="00391BA3">
        <w:rPr>
          <w:rFonts w:ascii="Aptos" w:eastAsia="Aptos" w:hAnsi="Aptos" w:cs="Aptos"/>
        </w:rPr>
        <w:t xml:space="preserve"> </w:t>
      </w:r>
      <w:r w:rsidR="004D4540" w:rsidRPr="001C3E8C">
        <w:rPr>
          <w:rFonts w:ascii="Aptos" w:eastAsia="Aptos" w:hAnsi="Aptos" w:cs="Aptos"/>
        </w:rPr>
        <w:t>as</w:t>
      </w:r>
      <w:r w:rsidR="003B54D4" w:rsidRPr="001C3E8C">
        <w:rPr>
          <w:rFonts w:ascii="Aptos" w:eastAsia="Aptos" w:hAnsi="Aptos" w:cs="Aptos"/>
        </w:rPr>
        <w:t xml:space="preserve"> gross receipts, per California Revenue and Taxation Code § 25120(f)(2).</w:t>
      </w:r>
    </w:p>
    <w:p w14:paraId="4DC6F4FB" w14:textId="5FE4BC36" w:rsidR="00DA28CC" w:rsidRDefault="0DF5C33B" w:rsidP="2347C693">
      <w:pPr>
        <w:spacing w:before="240" w:after="240"/>
        <w:rPr>
          <w:rFonts w:ascii="Aptos" w:eastAsia="Aptos" w:hAnsi="Aptos" w:cs="Aptos"/>
          <w:b/>
          <w:bCs/>
        </w:rPr>
      </w:pPr>
      <w:r w:rsidRPr="0011623D">
        <w:rPr>
          <w:rFonts w:ascii="Aptos" w:eastAsia="Aptos" w:hAnsi="Aptos" w:cs="Aptos"/>
          <w:b/>
          <w:bCs/>
        </w:rPr>
        <w:t>Definition of “</w:t>
      </w:r>
      <w:r w:rsidR="0011623D">
        <w:rPr>
          <w:rFonts w:ascii="Aptos" w:eastAsia="Aptos" w:hAnsi="Aptos" w:cs="Aptos"/>
          <w:b/>
          <w:bCs/>
        </w:rPr>
        <w:t>D</w:t>
      </w:r>
      <w:r w:rsidRPr="0011623D">
        <w:rPr>
          <w:rFonts w:ascii="Aptos" w:eastAsia="Aptos" w:hAnsi="Aptos" w:cs="Aptos"/>
          <w:b/>
          <w:bCs/>
        </w:rPr>
        <w:t xml:space="preserve">oing </w:t>
      </w:r>
      <w:r w:rsidR="0011623D">
        <w:rPr>
          <w:rFonts w:ascii="Aptos" w:eastAsia="Aptos" w:hAnsi="Aptos" w:cs="Aptos"/>
          <w:b/>
          <w:bCs/>
        </w:rPr>
        <w:t>B</w:t>
      </w:r>
      <w:r w:rsidRPr="0011623D">
        <w:rPr>
          <w:rFonts w:ascii="Aptos" w:eastAsia="Aptos" w:hAnsi="Aptos" w:cs="Aptos"/>
          <w:b/>
          <w:bCs/>
        </w:rPr>
        <w:t>usiness in California”</w:t>
      </w:r>
    </w:p>
    <w:p w14:paraId="0374C376" w14:textId="151C8C62" w:rsidR="00901052" w:rsidRPr="00901052" w:rsidRDefault="00FA7950" w:rsidP="00AD6FD6">
      <w:pPr>
        <w:spacing w:before="240" w:after="240"/>
        <w:rPr>
          <w:rFonts w:ascii="Aptos" w:eastAsia="Aptos" w:hAnsi="Aptos" w:cs="Aptos"/>
        </w:rPr>
      </w:pPr>
      <w:r>
        <w:rPr>
          <w:rFonts w:ascii="Aptos" w:eastAsia="Aptos" w:hAnsi="Aptos" w:cs="Aptos"/>
        </w:rPr>
        <w:t>We recommend that the CARB defines “doing busine</w:t>
      </w:r>
      <w:r w:rsidRPr="001C3E8C">
        <w:rPr>
          <w:rFonts w:ascii="Aptos" w:eastAsia="Aptos" w:hAnsi="Aptos" w:cs="Aptos"/>
        </w:rPr>
        <w:t xml:space="preserve">ss in California” </w:t>
      </w:r>
      <w:r w:rsidR="00AD6FD6" w:rsidRPr="001C3E8C">
        <w:rPr>
          <w:rFonts w:ascii="Aptos" w:eastAsia="Aptos" w:hAnsi="Aptos" w:cs="Aptos"/>
        </w:rPr>
        <w:t>using the Revenue &amp; Tax Code definition provided in Section 23101.</w:t>
      </w:r>
    </w:p>
    <w:p w14:paraId="629C89C7" w14:textId="0308AC56" w:rsidR="00DA28CC" w:rsidRPr="00073320" w:rsidRDefault="0DF5C33B" w:rsidP="2347C693">
      <w:pPr>
        <w:spacing w:before="240" w:after="240"/>
        <w:rPr>
          <w:rFonts w:ascii="Aptos" w:eastAsia="Aptos" w:hAnsi="Aptos" w:cs="Aptos"/>
          <w:b/>
          <w:bCs/>
        </w:rPr>
      </w:pPr>
      <w:r w:rsidRPr="00073320">
        <w:rPr>
          <w:rFonts w:ascii="Aptos" w:eastAsia="Aptos" w:hAnsi="Aptos" w:cs="Aptos"/>
          <w:b/>
          <w:bCs/>
        </w:rPr>
        <w:t xml:space="preserve">Relationship between parent and </w:t>
      </w:r>
      <w:r w:rsidR="00FD6C57" w:rsidRPr="00073320">
        <w:rPr>
          <w:rFonts w:ascii="Aptos" w:eastAsia="Aptos" w:hAnsi="Aptos" w:cs="Aptos"/>
          <w:b/>
          <w:bCs/>
        </w:rPr>
        <w:t>subsidiaries</w:t>
      </w:r>
    </w:p>
    <w:p w14:paraId="3E31F769" w14:textId="2572A307" w:rsidR="00DA28CC" w:rsidRDefault="0BABA291" w:rsidP="2347C693">
      <w:pPr>
        <w:spacing w:before="240" w:after="240"/>
        <w:rPr>
          <w:rFonts w:ascii="Aptos" w:eastAsia="Aptos" w:hAnsi="Aptos" w:cs="Aptos"/>
        </w:rPr>
      </w:pPr>
      <w:r w:rsidRPr="2347C693">
        <w:rPr>
          <w:rFonts w:ascii="Aptos" w:eastAsia="Aptos" w:hAnsi="Aptos" w:cs="Aptos"/>
        </w:rPr>
        <w:t>For private equity firms, each Fund entity maintains its own distinct financials and governing contracts. Accordingly, we believe the reporting definitions (</w:t>
      </w:r>
      <w:r w:rsidR="00FA0D5E">
        <w:rPr>
          <w:rFonts w:ascii="Aptos" w:eastAsia="Aptos" w:hAnsi="Aptos" w:cs="Aptos"/>
        </w:rPr>
        <w:t xml:space="preserve">“total annual </w:t>
      </w:r>
      <w:r w:rsidRPr="2347C693">
        <w:rPr>
          <w:rFonts w:ascii="Aptos" w:eastAsia="Aptos" w:hAnsi="Aptos" w:cs="Aptos"/>
        </w:rPr>
        <w:t>revenue</w:t>
      </w:r>
      <w:r w:rsidR="00FA0D5E">
        <w:rPr>
          <w:rFonts w:ascii="Aptos" w:eastAsia="Aptos" w:hAnsi="Aptos" w:cs="Aptos"/>
        </w:rPr>
        <w:t>”</w:t>
      </w:r>
      <w:r w:rsidRPr="2347C693">
        <w:rPr>
          <w:rFonts w:ascii="Aptos" w:eastAsia="Aptos" w:hAnsi="Aptos" w:cs="Aptos"/>
        </w:rPr>
        <w:t xml:space="preserve"> and </w:t>
      </w:r>
      <w:r w:rsidR="00FA0D5E">
        <w:rPr>
          <w:rFonts w:ascii="Aptos" w:eastAsia="Aptos" w:hAnsi="Aptos" w:cs="Aptos"/>
        </w:rPr>
        <w:t>“</w:t>
      </w:r>
      <w:r w:rsidRPr="2347C693">
        <w:rPr>
          <w:rFonts w:ascii="Aptos" w:eastAsia="Aptos" w:hAnsi="Aptos" w:cs="Aptos"/>
        </w:rPr>
        <w:t>doing business in California</w:t>
      </w:r>
      <w:r w:rsidR="00FA0D5E">
        <w:rPr>
          <w:rFonts w:ascii="Aptos" w:eastAsia="Aptos" w:hAnsi="Aptos" w:cs="Aptos"/>
        </w:rPr>
        <w:t>”</w:t>
      </w:r>
      <w:r w:rsidRPr="2347C693">
        <w:rPr>
          <w:rFonts w:ascii="Aptos" w:eastAsia="Aptos" w:hAnsi="Aptos" w:cs="Aptos"/>
        </w:rPr>
        <w:t>) would be more useful if applied at the entity level rather than the Fund, portfolio company (PortCo), or parent level. Specific assets inside each Fund will likely fluctuate on a year-over-year basis, so non-aggregated, entity-level reporting would provide greater value and portability as investments transition to different parent owners.</w:t>
      </w:r>
    </w:p>
    <w:p w14:paraId="5A2058D4" w14:textId="315E49AA" w:rsidR="00DA28CC" w:rsidRDefault="0BABA291" w:rsidP="2347C693">
      <w:pPr>
        <w:spacing w:before="240" w:after="240"/>
        <w:rPr>
          <w:rFonts w:ascii="Aptos" w:eastAsia="Aptos" w:hAnsi="Aptos" w:cs="Aptos"/>
        </w:rPr>
      </w:pPr>
      <w:r w:rsidRPr="2347C693">
        <w:rPr>
          <w:rFonts w:ascii="Aptos" w:eastAsia="Aptos" w:hAnsi="Aptos" w:cs="Aptos"/>
        </w:rPr>
        <w:t>We have included a sample structure chart to illustrate: the Investment Manager (an SEC-registered investment adviser), the private equity Fund (a limited partnership), the Fund’s General Partner, an operating company (OpCo) wholly owned and managed by the Fund, and a PortCo wholly owned by the Fund but operated by a separate management team.</w:t>
      </w:r>
    </w:p>
    <w:p w14:paraId="24E752D0" w14:textId="131FA17D" w:rsidR="00FA0D5E" w:rsidRDefault="00FA0D5E" w:rsidP="2347C693">
      <w:pPr>
        <w:spacing w:before="240" w:after="240"/>
        <w:rPr>
          <w:rFonts w:ascii="Aptos" w:eastAsia="Aptos" w:hAnsi="Aptos" w:cs="Aptos"/>
        </w:rPr>
      </w:pPr>
      <w:r>
        <w:rPr>
          <w:rFonts w:ascii="Aptos" w:eastAsia="Aptos" w:hAnsi="Aptos" w:cs="Aptos"/>
        </w:rPr>
        <w:t>We also recommend th</w:t>
      </w:r>
      <w:r w:rsidR="00AF5050">
        <w:rPr>
          <w:rFonts w:ascii="Aptos" w:eastAsia="Aptos" w:hAnsi="Aptos" w:cs="Aptos"/>
        </w:rPr>
        <w:t xml:space="preserve">at if the parent company </w:t>
      </w:r>
      <w:r w:rsidR="00652F48">
        <w:rPr>
          <w:rFonts w:ascii="Aptos" w:eastAsia="Aptos" w:hAnsi="Aptos" w:cs="Aptos"/>
        </w:rPr>
        <w:t xml:space="preserve">chooses to </w:t>
      </w:r>
      <w:r w:rsidR="00AF5050">
        <w:rPr>
          <w:rFonts w:ascii="Aptos" w:eastAsia="Aptos" w:hAnsi="Aptos" w:cs="Aptos"/>
        </w:rPr>
        <w:t xml:space="preserve">report on behalf of its subsidiaries, only </w:t>
      </w:r>
      <w:r w:rsidR="00FB7A90">
        <w:rPr>
          <w:rFonts w:ascii="Aptos" w:eastAsia="Aptos" w:hAnsi="Aptos" w:cs="Aptos"/>
        </w:rPr>
        <w:t>data</w:t>
      </w:r>
      <w:r w:rsidR="00557ED4">
        <w:rPr>
          <w:rFonts w:ascii="Aptos" w:eastAsia="Aptos" w:hAnsi="Aptos" w:cs="Aptos"/>
        </w:rPr>
        <w:t xml:space="preserve"> from </w:t>
      </w:r>
      <w:r w:rsidR="00AF5050">
        <w:rPr>
          <w:rFonts w:ascii="Aptos" w:eastAsia="Aptos" w:hAnsi="Aptos" w:cs="Aptos"/>
        </w:rPr>
        <w:t>the subsidiaries</w:t>
      </w:r>
      <w:r w:rsidR="000A667E">
        <w:rPr>
          <w:rFonts w:ascii="Aptos" w:eastAsia="Aptos" w:hAnsi="Aptos" w:cs="Aptos"/>
        </w:rPr>
        <w:t xml:space="preserve"> </w:t>
      </w:r>
      <w:r w:rsidR="001A0381">
        <w:rPr>
          <w:rFonts w:ascii="Aptos" w:eastAsia="Aptos" w:hAnsi="Aptos" w:cs="Aptos"/>
        </w:rPr>
        <w:t>that are covered under 253 and 261</w:t>
      </w:r>
      <w:r w:rsidR="000A667E">
        <w:rPr>
          <w:rFonts w:ascii="Aptos" w:eastAsia="Aptos" w:hAnsi="Aptos" w:cs="Aptos"/>
        </w:rPr>
        <w:t xml:space="preserve"> should be included in the report. </w:t>
      </w:r>
      <w:r w:rsidR="00557ED4">
        <w:rPr>
          <w:rFonts w:ascii="Aptos" w:eastAsia="Aptos" w:hAnsi="Aptos" w:cs="Aptos"/>
        </w:rPr>
        <w:t xml:space="preserve">Other subsidiaries that </w:t>
      </w:r>
      <w:r w:rsidR="00771F9D">
        <w:rPr>
          <w:rFonts w:ascii="Aptos" w:eastAsia="Aptos" w:hAnsi="Aptos" w:cs="Aptos"/>
        </w:rPr>
        <w:t>do not meet the thresholds</w:t>
      </w:r>
      <w:r w:rsidR="008676F5">
        <w:rPr>
          <w:rFonts w:ascii="Aptos" w:eastAsia="Aptos" w:hAnsi="Aptos" w:cs="Aptos"/>
        </w:rPr>
        <w:t xml:space="preserve"> or </w:t>
      </w:r>
      <w:r w:rsidR="00557ED4">
        <w:rPr>
          <w:rFonts w:ascii="Aptos" w:eastAsia="Aptos" w:hAnsi="Aptos" w:cs="Aptos"/>
        </w:rPr>
        <w:t>are</w:t>
      </w:r>
      <w:r w:rsidR="00F86BDF">
        <w:rPr>
          <w:rFonts w:ascii="Aptos" w:eastAsia="Aptos" w:hAnsi="Aptos" w:cs="Aptos"/>
        </w:rPr>
        <w:t xml:space="preserve"> out of the state or country should be excluded from reporting. The stated purpose of 253 and 26</w:t>
      </w:r>
      <w:r w:rsidR="008676F5">
        <w:rPr>
          <w:rFonts w:ascii="Aptos" w:eastAsia="Aptos" w:hAnsi="Aptos" w:cs="Aptos"/>
        </w:rPr>
        <w:t>1</w:t>
      </w:r>
      <w:r w:rsidR="00F86BDF">
        <w:rPr>
          <w:rFonts w:ascii="Aptos" w:eastAsia="Aptos" w:hAnsi="Aptos" w:cs="Aptos"/>
        </w:rPr>
        <w:t xml:space="preserve"> </w:t>
      </w:r>
      <w:r w:rsidR="00D90689">
        <w:rPr>
          <w:rFonts w:ascii="Aptos" w:eastAsia="Aptos" w:hAnsi="Aptos" w:cs="Aptos"/>
        </w:rPr>
        <w:t>is to help California manage climate risks and transition planning</w:t>
      </w:r>
      <w:r w:rsidR="00D3026F">
        <w:rPr>
          <w:rFonts w:ascii="Aptos" w:eastAsia="Aptos" w:hAnsi="Aptos" w:cs="Aptos"/>
        </w:rPr>
        <w:t>. The relevant risks are tied to entities with direct economic and operational presence in California, not out-of-state or global parent companies with ne</w:t>
      </w:r>
      <w:r w:rsidR="00CB0849">
        <w:rPr>
          <w:rFonts w:ascii="Aptos" w:eastAsia="Aptos" w:hAnsi="Aptos" w:cs="Aptos"/>
        </w:rPr>
        <w:t>gligible local operations.</w:t>
      </w:r>
    </w:p>
    <w:p w14:paraId="2C078E63" w14:textId="28F803EC" w:rsidR="00DA28CC" w:rsidRDefault="00DA28CC"/>
    <w:sectPr w:rsidR="00DA28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302B01"/>
    <w:multiLevelType w:val="hybridMultilevel"/>
    <w:tmpl w:val="EDC433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983D05"/>
    <w:multiLevelType w:val="hybridMultilevel"/>
    <w:tmpl w:val="0D469D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8905196">
    <w:abstractNumId w:val="0"/>
  </w:num>
  <w:num w:numId="2" w16cid:durableId="12813017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38C9C2D"/>
    <w:rsid w:val="00004A91"/>
    <w:rsid w:val="00071273"/>
    <w:rsid w:val="00073320"/>
    <w:rsid w:val="0008658E"/>
    <w:rsid w:val="000A667E"/>
    <w:rsid w:val="0011623D"/>
    <w:rsid w:val="001A0381"/>
    <w:rsid w:val="001C3E8C"/>
    <w:rsid w:val="00364487"/>
    <w:rsid w:val="00391BA3"/>
    <w:rsid w:val="003B54D4"/>
    <w:rsid w:val="003E4996"/>
    <w:rsid w:val="003F69FD"/>
    <w:rsid w:val="004B1C37"/>
    <w:rsid w:val="004B67BA"/>
    <w:rsid w:val="004D4540"/>
    <w:rsid w:val="00532757"/>
    <w:rsid w:val="005463CC"/>
    <w:rsid w:val="00557ED4"/>
    <w:rsid w:val="00585FE5"/>
    <w:rsid w:val="0062046A"/>
    <w:rsid w:val="00652F48"/>
    <w:rsid w:val="006804EA"/>
    <w:rsid w:val="00771F9D"/>
    <w:rsid w:val="008676F5"/>
    <w:rsid w:val="00884424"/>
    <w:rsid w:val="00890A5C"/>
    <w:rsid w:val="00901052"/>
    <w:rsid w:val="00973030"/>
    <w:rsid w:val="00AD6FD6"/>
    <w:rsid w:val="00AF5050"/>
    <w:rsid w:val="00BE1B9F"/>
    <w:rsid w:val="00C8463A"/>
    <w:rsid w:val="00CB0849"/>
    <w:rsid w:val="00D044A9"/>
    <w:rsid w:val="00D3026F"/>
    <w:rsid w:val="00D90689"/>
    <w:rsid w:val="00D938F8"/>
    <w:rsid w:val="00DA28CC"/>
    <w:rsid w:val="00DB2936"/>
    <w:rsid w:val="00F167CB"/>
    <w:rsid w:val="00F31785"/>
    <w:rsid w:val="00F32263"/>
    <w:rsid w:val="00F86BDF"/>
    <w:rsid w:val="00FA0D5E"/>
    <w:rsid w:val="00FA7950"/>
    <w:rsid w:val="00FB7A90"/>
    <w:rsid w:val="00FD6C57"/>
    <w:rsid w:val="073A899B"/>
    <w:rsid w:val="08D9118A"/>
    <w:rsid w:val="0BABA291"/>
    <w:rsid w:val="0DF2D36F"/>
    <w:rsid w:val="0DF5C33B"/>
    <w:rsid w:val="1172B7C9"/>
    <w:rsid w:val="1E1226FF"/>
    <w:rsid w:val="2347C693"/>
    <w:rsid w:val="438C9C2D"/>
    <w:rsid w:val="458CEEDE"/>
    <w:rsid w:val="50891B7B"/>
    <w:rsid w:val="5142B1CD"/>
    <w:rsid w:val="59E0369C"/>
    <w:rsid w:val="5FFD22AD"/>
    <w:rsid w:val="695AA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8C9C2D"/>
  <w15:chartTrackingRefBased/>
  <w15:docId w15:val="{49097F4F-F912-4F0A-856C-346405E15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88442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8442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8442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8442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84424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4B1C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3B889E95BB45428BAA29C5E89A71AC" ma:contentTypeVersion="6" ma:contentTypeDescription="Create a new document." ma:contentTypeScope="" ma:versionID="da7db74b7a24271259a20771dc687d23">
  <xsd:schema xmlns:xsd="http://www.w3.org/2001/XMLSchema" xmlns:xs="http://www.w3.org/2001/XMLSchema" xmlns:p="http://schemas.microsoft.com/office/2006/metadata/properties" xmlns:ns2="918a7854-3f09-4a92-add0-2faa1b6b9898" xmlns:ns3="89ac4611-7025-4d0a-8ca7-2cd63f7b969b" targetNamespace="http://schemas.microsoft.com/office/2006/metadata/properties" ma:root="true" ma:fieldsID="61698c0cfa3ff33d93711575a31ea6bc" ns2:_="" ns3:_="">
    <xsd:import namespace="918a7854-3f09-4a92-add0-2faa1b6b9898"/>
    <xsd:import namespace="89ac4611-7025-4d0a-8ca7-2cd63f7b969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8a7854-3f09-4a92-add0-2faa1b6b989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ac4611-7025-4d0a-8ca7-2cd63f7b96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BB663AA-BBDC-41D3-A311-73B1F5652F96}"/>
</file>

<file path=customXml/itemProps2.xml><?xml version="1.0" encoding="utf-8"?>
<ds:datastoreItem xmlns:ds="http://schemas.openxmlformats.org/officeDocument/2006/customXml" ds:itemID="{77606F95-107D-48BA-8E88-64C864BBD789}"/>
</file>

<file path=customXml/itemProps3.xml><?xml version="1.0" encoding="utf-8"?>
<ds:datastoreItem xmlns:ds="http://schemas.openxmlformats.org/officeDocument/2006/customXml" ds:itemID="{34194A72-B7E2-4762-AB38-E37609734AF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282</Words>
  <Characters>1611</Characters>
  <Application>Microsoft Office Word</Application>
  <DocSecurity>4</DocSecurity>
  <Lines>13</Lines>
  <Paragraphs>3</Paragraphs>
  <ScaleCrop>false</ScaleCrop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Schnell</dc:creator>
  <cp:keywords/>
  <dc:description/>
  <cp:lastModifiedBy>Stephen Espel</cp:lastModifiedBy>
  <cp:revision>2</cp:revision>
  <dcterms:created xsi:type="dcterms:W3CDTF">2025-09-10T19:28:00Z</dcterms:created>
  <dcterms:modified xsi:type="dcterms:W3CDTF">2025-09-10T19:28:00Z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0x010100C13B889E95BB45428BAA29C5E89A71AC</vt:lpwstr>
  </property>
</Properties>
</file>