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ED8DB" w14:textId="77777777" w:rsidR="00C6582D" w:rsidRPr="00C6582D" w:rsidRDefault="00C6582D" w:rsidP="00C6582D">
      <w:pPr>
        <w:spacing w:before="0" w:after="0" w:line="240" w:lineRule="auto"/>
      </w:pPr>
      <w:r w:rsidRPr="00C6582D">
        <w:rPr>
          <w:b/>
          <w:bCs/>
        </w:rPr>
        <w:t>1. Sector-Specific Guidance for Financial Services</w:t>
      </w:r>
    </w:p>
    <w:p w14:paraId="6B121E73" w14:textId="77777777" w:rsidR="00C6582D" w:rsidRPr="00C6582D" w:rsidRDefault="00C6582D" w:rsidP="00C6582D">
      <w:pPr>
        <w:numPr>
          <w:ilvl w:val="0"/>
          <w:numId w:val="5"/>
        </w:numPr>
        <w:spacing w:before="0" w:after="0" w:line="240" w:lineRule="auto"/>
      </w:pPr>
      <w:r w:rsidRPr="00C6582D">
        <w:t>We recommend CARB provide </w:t>
      </w:r>
      <w:r w:rsidRPr="00C6582D">
        <w:rPr>
          <w:b/>
          <w:bCs/>
        </w:rPr>
        <w:t>explicit guidance on applicability for the financial sector</w:t>
      </w:r>
      <w:r w:rsidRPr="00C6582D">
        <w:t xml:space="preserve">, particularly regarding </w:t>
      </w:r>
    </w:p>
    <w:p w14:paraId="1FB46DBF" w14:textId="77777777" w:rsidR="00C6582D" w:rsidRDefault="00C6582D" w:rsidP="00C6582D">
      <w:pPr>
        <w:numPr>
          <w:ilvl w:val="1"/>
          <w:numId w:val="5"/>
        </w:numPr>
        <w:spacing w:before="0" w:after="0" w:line="240" w:lineRule="auto"/>
      </w:pPr>
      <w:r w:rsidRPr="00C6582D">
        <w:t>ownership structures in private equity</w:t>
      </w:r>
    </w:p>
    <w:p w14:paraId="4427592D" w14:textId="370D9907" w:rsidR="00C6582D" w:rsidRPr="00C6582D" w:rsidRDefault="00C6582D" w:rsidP="00C6582D">
      <w:pPr>
        <w:numPr>
          <w:ilvl w:val="1"/>
          <w:numId w:val="5"/>
        </w:numPr>
        <w:spacing w:before="0" w:after="0" w:line="240" w:lineRule="auto"/>
      </w:pPr>
      <w:r w:rsidRPr="00C6582D">
        <w:t>reporting boundaries and revenue roll-up for private equity</w:t>
      </w:r>
    </w:p>
    <w:p w14:paraId="3494EF36" w14:textId="0BAF7EB9" w:rsidR="00C6582D" w:rsidRPr="00C6582D" w:rsidRDefault="00C6582D" w:rsidP="00C6582D">
      <w:pPr>
        <w:numPr>
          <w:ilvl w:val="1"/>
          <w:numId w:val="5"/>
        </w:numPr>
        <w:spacing w:before="0" w:after="0" w:line="240" w:lineRule="auto"/>
      </w:pPr>
      <w:r>
        <w:t>f</w:t>
      </w:r>
      <w:r w:rsidRPr="00C6582D">
        <w:t>und vs entity reporting</w:t>
      </w:r>
    </w:p>
    <w:p w14:paraId="50A9B89E" w14:textId="77777777" w:rsidR="00C6582D" w:rsidRDefault="00C6582D" w:rsidP="00C6582D">
      <w:pPr>
        <w:numPr>
          <w:ilvl w:val="2"/>
          <w:numId w:val="5"/>
        </w:numPr>
        <w:spacing w:before="0" w:after="0" w:line="240" w:lineRule="auto"/>
      </w:pPr>
      <w:r w:rsidRPr="00C6582D">
        <w:t>If investment income is included in the revenue calculation, we recommend investment income at the fund level should </w:t>
      </w:r>
      <w:r w:rsidRPr="00C6582D">
        <w:rPr>
          <w:b/>
          <w:bCs/>
        </w:rPr>
        <w:t>not be aggregated</w:t>
      </w:r>
      <w:r w:rsidRPr="00C6582D">
        <w:t> to the global asset manager level for threshold determination as each fund represents its own legal and operational entity.</w:t>
      </w:r>
    </w:p>
    <w:p w14:paraId="21C27B58" w14:textId="77777777" w:rsidR="00C6582D" w:rsidRDefault="00C6582D" w:rsidP="00C6582D">
      <w:pPr>
        <w:spacing w:before="0" w:after="0" w:line="240" w:lineRule="auto"/>
        <w:rPr>
          <w:b/>
          <w:bCs/>
        </w:rPr>
      </w:pPr>
    </w:p>
    <w:p w14:paraId="4DFFD303" w14:textId="616CB0AB" w:rsidR="00C6582D" w:rsidRPr="00C6582D" w:rsidRDefault="00C6582D" w:rsidP="00C6582D">
      <w:pPr>
        <w:spacing w:before="0" w:after="0" w:line="240" w:lineRule="auto"/>
      </w:pPr>
      <w:r w:rsidRPr="00C6582D">
        <w:rPr>
          <w:b/>
          <w:bCs/>
        </w:rPr>
        <w:t> 2. Exclusion of Investment Income from Revenue Threshold Calculations</w:t>
      </w:r>
    </w:p>
    <w:p w14:paraId="6A4EF9D9" w14:textId="77777777" w:rsidR="00C6582D" w:rsidRPr="00C6582D" w:rsidRDefault="00C6582D" w:rsidP="00C6582D">
      <w:pPr>
        <w:numPr>
          <w:ilvl w:val="0"/>
          <w:numId w:val="6"/>
        </w:numPr>
        <w:spacing w:before="0" w:after="0" w:line="240" w:lineRule="auto"/>
      </w:pPr>
      <w:r w:rsidRPr="00C6582D">
        <w:t>We agree with the feedback discussed during the 5/29/2025 webinar, in that we recommend CARB to </w:t>
      </w:r>
      <w:r w:rsidRPr="00C6582D">
        <w:rPr>
          <w:b/>
          <w:bCs/>
        </w:rPr>
        <w:t>exclude income sources in the financial sectors such as interest, fees, dividends, and investment income</w:t>
      </w:r>
      <w:r w:rsidRPr="00C6582D">
        <w:t> from the definition of “revenue” when determining applicability thresholds as they do not represent GHG emissions. Including these income sources may lead to:</w:t>
      </w:r>
    </w:p>
    <w:p w14:paraId="72D3D8EA" w14:textId="77777777" w:rsidR="00C6582D" w:rsidRPr="00C6582D" w:rsidRDefault="00C6582D" w:rsidP="00C6582D">
      <w:pPr>
        <w:numPr>
          <w:ilvl w:val="1"/>
          <w:numId w:val="6"/>
        </w:numPr>
        <w:spacing w:before="0" w:after="0" w:line="240" w:lineRule="auto"/>
      </w:pPr>
      <w:r w:rsidRPr="00C6582D">
        <w:t>Duplicative emissions reporting</w:t>
      </w:r>
    </w:p>
    <w:p w14:paraId="4435761A" w14:textId="77777777" w:rsidR="00C6582D" w:rsidRPr="00C6582D" w:rsidRDefault="00C6582D" w:rsidP="00C6582D">
      <w:pPr>
        <w:numPr>
          <w:ilvl w:val="1"/>
          <w:numId w:val="6"/>
        </w:numPr>
        <w:spacing w:before="0" w:after="0" w:line="240" w:lineRule="auto"/>
      </w:pPr>
      <w:r w:rsidRPr="00C6582D">
        <w:t>Reduced data accuracy and comparability across sectors</w:t>
      </w:r>
    </w:p>
    <w:p w14:paraId="2C0E53A8" w14:textId="77777777" w:rsidR="00C6582D" w:rsidRDefault="00C6582D" w:rsidP="00C6582D">
      <w:pPr>
        <w:spacing w:before="0" w:after="0" w:line="240" w:lineRule="auto"/>
      </w:pPr>
    </w:p>
    <w:p w14:paraId="7F50AC26" w14:textId="3D02B609" w:rsidR="00C6582D" w:rsidRPr="00C6582D" w:rsidRDefault="00C6582D" w:rsidP="00C6582D">
      <w:pPr>
        <w:spacing w:before="0" w:after="0" w:line="240" w:lineRule="auto"/>
      </w:pPr>
      <w:r w:rsidRPr="00C6582D">
        <w:t> </w:t>
      </w:r>
      <w:r w:rsidRPr="00C6582D">
        <w:rPr>
          <w:b/>
          <w:bCs/>
        </w:rPr>
        <w:t>3. Reporting Boundaries and Jurisdictional Scope</w:t>
      </w:r>
    </w:p>
    <w:p w14:paraId="54E935F3" w14:textId="77777777" w:rsidR="00C6582D" w:rsidRPr="00C6582D" w:rsidRDefault="00C6582D" w:rsidP="00C6582D">
      <w:pPr>
        <w:numPr>
          <w:ilvl w:val="0"/>
          <w:numId w:val="7"/>
        </w:numPr>
        <w:spacing w:before="0" w:after="0" w:line="240" w:lineRule="auto"/>
      </w:pPr>
      <w:r w:rsidRPr="00C6582D">
        <w:t>CARB should clarify whether SB 253 reporting obligations apply to:</w:t>
      </w:r>
    </w:p>
    <w:p w14:paraId="11C786C5" w14:textId="77777777" w:rsidR="00C6582D" w:rsidRPr="00C6582D" w:rsidRDefault="00C6582D" w:rsidP="00C6582D">
      <w:pPr>
        <w:numPr>
          <w:ilvl w:val="1"/>
          <w:numId w:val="7"/>
        </w:numPr>
        <w:spacing w:before="0" w:after="0" w:line="240" w:lineRule="auto"/>
      </w:pPr>
      <w:r w:rsidRPr="00C6582D">
        <w:t>The </w:t>
      </w:r>
      <w:r w:rsidRPr="00C6582D">
        <w:rPr>
          <w:b/>
          <w:bCs/>
        </w:rPr>
        <w:t>entire global entity</w:t>
      </w:r>
      <w:r w:rsidRPr="00C6582D">
        <w:t> once thresholds are met, or</w:t>
      </w:r>
    </w:p>
    <w:p w14:paraId="2E89DEBA" w14:textId="77777777" w:rsidR="00C6582D" w:rsidRPr="00C6582D" w:rsidRDefault="00C6582D" w:rsidP="00C6582D">
      <w:pPr>
        <w:numPr>
          <w:ilvl w:val="1"/>
          <w:numId w:val="7"/>
        </w:numPr>
        <w:spacing w:before="0" w:after="0" w:line="240" w:lineRule="auto"/>
      </w:pPr>
      <w:r w:rsidRPr="00C6582D">
        <w:t>Only those </w:t>
      </w:r>
      <w:r w:rsidRPr="00C6582D">
        <w:rPr>
          <w:b/>
          <w:bCs/>
        </w:rPr>
        <w:t xml:space="preserve">entities “doing business in California” </w:t>
      </w:r>
    </w:p>
    <w:p w14:paraId="7A325105" w14:textId="77777777" w:rsidR="00C6582D" w:rsidRPr="00C6582D" w:rsidRDefault="00C6582D" w:rsidP="00C6582D">
      <w:pPr>
        <w:numPr>
          <w:ilvl w:val="1"/>
          <w:numId w:val="7"/>
        </w:numPr>
        <w:spacing w:before="0" w:after="0" w:line="240" w:lineRule="auto"/>
      </w:pPr>
      <w:r w:rsidRPr="00C6582D">
        <w:t>We recommend limiting reporting to entities </w:t>
      </w:r>
      <w:r w:rsidRPr="00C6582D">
        <w:rPr>
          <w:b/>
          <w:bCs/>
        </w:rPr>
        <w:t>doing business in California</w:t>
      </w:r>
      <w:r w:rsidRPr="00C6582D">
        <w:t>, to avoid extending regulatory influence beyond the state’s jurisdiction and ensure alignment with constitutional boundaries.</w:t>
      </w:r>
    </w:p>
    <w:p w14:paraId="3431F824" w14:textId="77777777" w:rsidR="00C6582D" w:rsidRDefault="00C6582D" w:rsidP="00C6582D">
      <w:pPr>
        <w:spacing w:before="0" w:after="0" w:line="240" w:lineRule="auto"/>
      </w:pPr>
    </w:p>
    <w:p w14:paraId="7F599074" w14:textId="3CAC2C72" w:rsidR="00C6582D" w:rsidRPr="00C6582D" w:rsidRDefault="00C6582D" w:rsidP="00C6582D">
      <w:pPr>
        <w:spacing w:before="0" w:after="0" w:line="240" w:lineRule="auto"/>
      </w:pPr>
      <w:r w:rsidRPr="00C6582D">
        <w:t> </w:t>
      </w:r>
      <w:r w:rsidRPr="00C6582D">
        <w:rPr>
          <w:b/>
          <w:bCs/>
        </w:rPr>
        <w:t>4. Recommendation to Adjust SB 253 Implementation Timeline</w:t>
      </w:r>
    </w:p>
    <w:p w14:paraId="2A07B98A" w14:textId="77777777" w:rsidR="00C6582D" w:rsidRPr="00C6582D" w:rsidRDefault="00C6582D" w:rsidP="00C6582D">
      <w:pPr>
        <w:numPr>
          <w:ilvl w:val="0"/>
          <w:numId w:val="8"/>
        </w:numPr>
        <w:spacing w:before="0" w:after="0" w:line="240" w:lineRule="auto"/>
      </w:pPr>
      <w:r w:rsidRPr="00C6582D">
        <w:t>We recommend </w:t>
      </w:r>
      <w:r w:rsidRPr="00C6582D">
        <w:rPr>
          <w:b/>
          <w:bCs/>
        </w:rPr>
        <w:t>delaying the initial reporting deadline</w:t>
      </w:r>
      <w:r w:rsidRPr="00C6582D">
        <w:t> for SB 253 to </w:t>
      </w:r>
      <w:r w:rsidRPr="00C6582D">
        <w:rPr>
          <w:b/>
          <w:bCs/>
        </w:rPr>
        <w:t>September 30, 2026</w:t>
      </w:r>
      <w:r w:rsidRPr="00C6582D">
        <w:t>, or </w:t>
      </w:r>
      <w:r w:rsidRPr="00C6582D">
        <w:rPr>
          <w:b/>
          <w:bCs/>
        </w:rPr>
        <w:t>year-end 2026</w:t>
      </w:r>
      <w:r w:rsidRPr="00C6582D">
        <w:t>, due to:</w:t>
      </w:r>
    </w:p>
    <w:p w14:paraId="05659F4E" w14:textId="77777777" w:rsidR="00C6582D" w:rsidRPr="00C6582D" w:rsidRDefault="00C6582D" w:rsidP="00C6582D">
      <w:pPr>
        <w:numPr>
          <w:ilvl w:val="1"/>
          <w:numId w:val="8"/>
        </w:numPr>
        <w:spacing w:before="0" w:after="0" w:line="240" w:lineRule="auto"/>
      </w:pPr>
      <w:r w:rsidRPr="00C6582D">
        <w:t>The time required for accurate third-party assurance</w:t>
      </w:r>
    </w:p>
    <w:p w14:paraId="269D2158" w14:textId="77777777" w:rsidR="00C6582D" w:rsidRPr="00C6582D" w:rsidRDefault="00C6582D" w:rsidP="00C6582D">
      <w:pPr>
        <w:numPr>
          <w:ilvl w:val="1"/>
          <w:numId w:val="8"/>
        </w:numPr>
        <w:spacing w:before="0" w:after="0" w:line="240" w:lineRule="auto"/>
      </w:pPr>
      <w:r w:rsidRPr="00C6582D">
        <w:t>The fact that FY 2025 data is typically finalized in Q1 2026</w:t>
      </w:r>
    </w:p>
    <w:p w14:paraId="7514F4AC" w14:textId="77777777" w:rsidR="00C6582D" w:rsidRPr="00C6582D" w:rsidRDefault="00C6582D" w:rsidP="00C6582D">
      <w:pPr>
        <w:numPr>
          <w:ilvl w:val="1"/>
          <w:numId w:val="8"/>
        </w:numPr>
        <w:spacing w:before="0" w:after="0" w:line="240" w:lineRule="auto"/>
      </w:pPr>
      <w:r w:rsidRPr="00C6582D">
        <w:t>The need to avoid undue pressure on assurance providers and reporting entities</w:t>
      </w:r>
    </w:p>
    <w:p w14:paraId="38511643" w14:textId="21A66D03" w:rsidR="0052288C" w:rsidRPr="00D50693" w:rsidRDefault="0052288C" w:rsidP="00C6582D">
      <w:pPr>
        <w:spacing w:before="0" w:after="0" w:line="240" w:lineRule="auto"/>
      </w:pPr>
    </w:p>
    <w:sectPr w:rsidR="0052288C" w:rsidRPr="00D506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F5945"/>
    <w:multiLevelType w:val="hybridMultilevel"/>
    <w:tmpl w:val="F126F9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CC3698"/>
    <w:multiLevelType w:val="hybridMultilevel"/>
    <w:tmpl w:val="3C1092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CC5F71"/>
    <w:multiLevelType w:val="hybridMultilevel"/>
    <w:tmpl w:val="929282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8903AF"/>
    <w:multiLevelType w:val="multilevel"/>
    <w:tmpl w:val="FAD0A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7D923C5"/>
    <w:multiLevelType w:val="hybridMultilevel"/>
    <w:tmpl w:val="CD6C5C10"/>
    <w:lvl w:ilvl="0" w:tplc="77EABFE6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D8B32B4"/>
    <w:multiLevelType w:val="multilevel"/>
    <w:tmpl w:val="C9D45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E9A64CA"/>
    <w:multiLevelType w:val="multilevel"/>
    <w:tmpl w:val="CE984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66D0361"/>
    <w:multiLevelType w:val="multilevel"/>
    <w:tmpl w:val="B0D0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76319544">
    <w:abstractNumId w:val="0"/>
  </w:num>
  <w:num w:numId="2" w16cid:durableId="898399014">
    <w:abstractNumId w:val="1"/>
  </w:num>
  <w:num w:numId="3" w16cid:durableId="1165781091">
    <w:abstractNumId w:val="4"/>
  </w:num>
  <w:num w:numId="4" w16cid:durableId="2079480076">
    <w:abstractNumId w:val="2"/>
  </w:num>
  <w:num w:numId="5" w16cid:durableId="513761395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8214557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49071312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55249601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82D"/>
    <w:rsid w:val="000D3BE5"/>
    <w:rsid w:val="00141268"/>
    <w:rsid w:val="001A7241"/>
    <w:rsid w:val="00223AE4"/>
    <w:rsid w:val="00263E3E"/>
    <w:rsid w:val="002849C5"/>
    <w:rsid w:val="002866F6"/>
    <w:rsid w:val="0029055E"/>
    <w:rsid w:val="002F2D77"/>
    <w:rsid w:val="0033504F"/>
    <w:rsid w:val="003631F5"/>
    <w:rsid w:val="00397198"/>
    <w:rsid w:val="003D4015"/>
    <w:rsid w:val="003E675E"/>
    <w:rsid w:val="0041520B"/>
    <w:rsid w:val="00445DEB"/>
    <w:rsid w:val="00450B2B"/>
    <w:rsid w:val="00452145"/>
    <w:rsid w:val="004701AB"/>
    <w:rsid w:val="004B5DCD"/>
    <w:rsid w:val="0052288C"/>
    <w:rsid w:val="005463CC"/>
    <w:rsid w:val="005D3D05"/>
    <w:rsid w:val="006202AE"/>
    <w:rsid w:val="006567C6"/>
    <w:rsid w:val="00696520"/>
    <w:rsid w:val="006E11FF"/>
    <w:rsid w:val="006F2487"/>
    <w:rsid w:val="007239B5"/>
    <w:rsid w:val="0078217B"/>
    <w:rsid w:val="00786480"/>
    <w:rsid w:val="007C6F5C"/>
    <w:rsid w:val="00884BDA"/>
    <w:rsid w:val="0089507C"/>
    <w:rsid w:val="008D3929"/>
    <w:rsid w:val="008E234F"/>
    <w:rsid w:val="00977319"/>
    <w:rsid w:val="009959C2"/>
    <w:rsid w:val="009A4680"/>
    <w:rsid w:val="009A6EBF"/>
    <w:rsid w:val="009E4358"/>
    <w:rsid w:val="00A3359B"/>
    <w:rsid w:val="00A440C6"/>
    <w:rsid w:val="00A51769"/>
    <w:rsid w:val="00B02A85"/>
    <w:rsid w:val="00B27E25"/>
    <w:rsid w:val="00B36D41"/>
    <w:rsid w:val="00B87A4C"/>
    <w:rsid w:val="00BA6046"/>
    <w:rsid w:val="00BD5642"/>
    <w:rsid w:val="00C123D4"/>
    <w:rsid w:val="00C137E9"/>
    <w:rsid w:val="00C1559A"/>
    <w:rsid w:val="00C21703"/>
    <w:rsid w:val="00C33439"/>
    <w:rsid w:val="00C6582D"/>
    <w:rsid w:val="00CB65BF"/>
    <w:rsid w:val="00D50693"/>
    <w:rsid w:val="00DA077E"/>
    <w:rsid w:val="00DC25FE"/>
    <w:rsid w:val="00E9647C"/>
    <w:rsid w:val="00EA426F"/>
    <w:rsid w:val="00ED6C00"/>
    <w:rsid w:val="00FA09E6"/>
    <w:rsid w:val="00FD02A2"/>
    <w:rsid w:val="00FE00FD"/>
    <w:rsid w:val="0130B23C"/>
    <w:rsid w:val="7903A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89F54"/>
  <w15:chartTrackingRefBased/>
  <w15:docId w15:val="{D17E48CE-732C-4D6D-ABFD-E18161E6B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1"/>
        <w:szCs w:val="21"/>
        <w:lang w:val="en-US" w:eastAsia="en-US" w:bidi="ar-SA"/>
        <w14:ligatures w14:val="standardContextual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5BF"/>
    <w:pPr>
      <w:spacing w:before="240" w:line="288" w:lineRule="auto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97198"/>
    <w:pPr>
      <w:keepNext/>
      <w:keepLines/>
      <w:pBdr>
        <w:bottom w:val="single" w:sz="4" w:space="1" w:color="006CA9" w:themeColor="accent1"/>
      </w:pBdr>
      <w:spacing w:before="400" w:after="400" w:line="240" w:lineRule="auto"/>
      <w:outlineLvl w:val="0"/>
    </w:pPr>
    <w:rPr>
      <w:rFonts w:asciiTheme="majorHAnsi" w:eastAsiaTheme="majorEastAsia" w:hAnsiTheme="majorHAnsi" w:cstheme="majorBidi"/>
      <w:b/>
      <w:color w:val="00325D" w:themeColor="text2"/>
      <w:sz w:val="40"/>
      <w:szCs w:val="3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33439"/>
    <w:pPr>
      <w:keepNext/>
      <w:keepLines/>
      <w:spacing w:before="360" w:line="240" w:lineRule="auto"/>
      <w:outlineLvl w:val="1"/>
    </w:pPr>
    <w:rPr>
      <w:rFonts w:asciiTheme="majorHAnsi" w:eastAsiaTheme="majorEastAsia" w:hAnsiTheme="majorHAnsi" w:cstheme="majorBidi"/>
      <w:b/>
      <w:sz w:val="34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33439"/>
    <w:pPr>
      <w:keepNext/>
      <w:keepLines/>
      <w:spacing w:before="360" w:line="240" w:lineRule="auto"/>
      <w:outlineLvl w:val="2"/>
    </w:pPr>
    <w:rPr>
      <w:rFonts w:asciiTheme="majorHAnsi" w:eastAsiaTheme="majorEastAsia" w:hAnsiTheme="majorHAnsi" w:cstheme="majorBidi"/>
      <w:i/>
      <w:iCs/>
      <w:color w:val="006CA9" w:themeColor="accent1"/>
      <w:sz w:val="28"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C33439"/>
    <w:pPr>
      <w:keepNext/>
      <w:keepLines/>
      <w:spacing w:before="360" w:after="0"/>
      <w:outlineLvl w:val="3"/>
    </w:pPr>
    <w:rPr>
      <w:rFonts w:asciiTheme="majorHAnsi" w:eastAsiaTheme="majorEastAsia" w:hAnsiTheme="majorHAnsi" w:cstheme="majorBidi"/>
      <w:b/>
      <w:iCs/>
      <w:sz w:val="22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88C"/>
    <w:pPr>
      <w:keepNext/>
      <w:keepLines/>
      <w:spacing w:before="8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88C"/>
    <w:pPr>
      <w:keepNext/>
      <w:keepLines/>
      <w:spacing w:before="8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88C"/>
    <w:pPr>
      <w:keepNext/>
      <w:keepLines/>
      <w:spacing w:before="8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88C"/>
    <w:pPr>
      <w:keepNext/>
      <w:keepLines/>
      <w:spacing w:before="8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88C"/>
    <w:pPr>
      <w:keepNext/>
      <w:keepLines/>
      <w:spacing w:before="8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7198"/>
    <w:rPr>
      <w:rFonts w:asciiTheme="majorHAnsi" w:eastAsiaTheme="majorEastAsia" w:hAnsiTheme="majorHAnsi" w:cstheme="majorBidi"/>
      <w:b/>
      <w:color w:val="00325D" w:themeColor="text2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52288C"/>
    <w:rPr>
      <w:rFonts w:asciiTheme="majorHAnsi" w:eastAsiaTheme="majorEastAsia" w:hAnsiTheme="majorHAnsi" w:cstheme="majorBidi"/>
      <w:b/>
      <w:sz w:val="3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52288C"/>
    <w:rPr>
      <w:rFonts w:asciiTheme="majorHAnsi" w:eastAsiaTheme="majorEastAsia" w:hAnsiTheme="majorHAnsi" w:cstheme="majorBidi"/>
      <w:i/>
      <w:iCs/>
      <w:color w:val="006CA9" w:themeColor="accent1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2288C"/>
    <w:rPr>
      <w:rFonts w:asciiTheme="majorHAnsi" w:eastAsiaTheme="majorEastAsia" w:hAnsiTheme="majorHAnsi" w:cstheme="majorBidi"/>
      <w:b/>
      <w:iCs/>
      <w:sz w:val="22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88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88C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88C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88C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88C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2288C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9507C"/>
    <w:pPr>
      <w:spacing w:line="264" w:lineRule="auto"/>
      <w:contextualSpacing/>
    </w:pPr>
    <w:rPr>
      <w:rFonts w:asciiTheme="majorHAnsi" w:eastAsiaTheme="majorEastAsia" w:hAnsiTheme="majorHAnsi" w:cstheme="majorBidi"/>
      <w:b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89507C"/>
    <w:rPr>
      <w:rFonts w:asciiTheme="majorHAnsi" w:eastAsiaTheme="majorEastAsia" w:hAnsiTheme="majorHAnsi" w:cstheme="majorBidi"/>
      <w:b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5D3D05"/>
    <w:pPr>
      <w:numPr>
        <w:ilvl w:val="1"/>
      </w:numPr>
      <w:spacing w:after="240" w:line="264" w:lineRule="auto"/>
    </w:pPr>
    <w:rPr>
      <w:rFonts w:asciiTheme="majorHAnsi" w:eastAsiaTheme="majorEastAsia" w:hAnsiTheme="majorHAnsi" w:cstheme="majorBidi"/>
      <w:i/>
      <w:color w:val="006CA9" w:themeColor="accent1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52288C"/>
    <w:rPr>
      <w:rFonts w:asciiTheme="majorHAnsi" w:eastAsiaTheme="majorEastAsia" w:hAnsiTheme="majorHAnsi" w:cstheme="majorBidi"/>
      <w:i/>
      <w:color w:val="006CA9" w:themeColor="accent1"/>
      <w:sz w:val="30"/>
      <w:szCs w:val="30"/>
    </w:rPr>
  </w:style>
  <w:style w:type="character" w:styleId="Strong">
    <w:name w:val="Strong"/>
    <w:basedOn w:val="DefaultParagraphFont"/>
    <w:uiPriority w:val="22"/>
    <w:qFormat/>
    <w:rsid w:val="0052288C"/>
    <w:rPr>
      <w:b/>
      <w:bCs/>
    </w:rPr>
  </w:style>
  <w:style w:type="character" w:styleId="Emphasis">
    <w:name w:val="Emphasis"/>
    <w:basedOn w:val="DefaultParagraphFont"/>
    <w:uiPriority w:val="20"/>
    <w:qFormat/>
    <w:rsid w:val="0052288C"/>
    <w:rPr>
      <w:i/>
      <w:iCs/>
    </w:rPr>
  </w:style>
  <w:style w:type="paragraph" w:styleId="NoSpacing">
    <w:name w:val="No Spacing"/>
    <w:uiPriority w:val="1"/>
    <w:qFormat/>
    <w:rsid w:val="0052288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2288C"/>
    <w:pPr>
      <w:spacing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2288C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88C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006CA9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88C"/>
    <w:rPr>
      <w:rFonts w:asciiTheme="majorHAnsi" w:eastAsiaTheme="majorEastAsia" w:hAnsiTheme="majorHAnsi" w:cstheme="majorBidi"/>
      <w:color w:val="006CA9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52288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2288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2288C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52288C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52288C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2288C"/>
    <w:pPr>
      <w:outlineLvl w:val="9"/>
    </w:pPr>
  </w:style>
  <w:style w:type="paragraph" w:styleId="ListParagraph">
    <w:name w:val="List Paragraph"/>
    <w:basedOn w:val="Normal"/>
    <w:uiPriority w:val="34"/>
    <w:qFormat/>
    <w:rsid w:val="00B87A4C"/>
    <w:pPr>
      <w:numPr>
        <w:numId w:val="3"/>
      </w:numPr>
      <w:contextualSpacing/>
    </w:pPr>
  </w:style>
  <w:style w:type="table" w:styleId="TableGrid">
    <w:name w:val="Table Grid"/>
    <w:basedOn w:val="TableNormal"/>
    <w:uiPriority w:val="39"/>
    <w:rsid w:val="00723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ACA Group">
      <a:dk1>
        <a:sysClr val="windowText" lastClr="000000"/>
      </a:dk1>
      <a:lt1>
        <a:sysClr val="window" lastClr="FFFFFF"/>
      </a:lt1>
      <a:dk2>
        <a:srgbClr val="00325D"/>
      </a:dk2>
      <a:lt2>
        <a:srgbClr val="E7E6E6"/>
      </a:lt2>
      <a:accent1>
        <a:srgbClr val="006CA9"/>
      </a:accent1>
      <a:accent2>
        <a:srgbClr val="78BF26"/>
      </a:accent2>
      <a:accent3>
        <a:srgbClr val="545860"/>
      </a:accent3>
      <a:accent4>
        <a:srgbClr val="F0B52B"/>
      </a:accent4>
      <a:accent5>
        <a:srgbClr val="00A9EB"/>
      </a:accent5>
      <a:accent6>
        <a:srgbClr val="CE491C"/>
      </a:accent6>
      <a:hlink>
        <a:srgbClr val="00A9EB"/>
      </a:hlink>
      <a:folHlink>
        <a:srgbClr val="712F19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754e92-03eb-4c08-b74e-b221b3d7940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CB17820B298C42B038B26A1DA1A9EC" ma:contentTypeVersion="15" ma:contentTypeDescription="Create a new document." ma:contentTypeScope="" ma:versionID="4c8cb63ef10175c855338450fbdd9b20">
  <xsd:schema xmlns:xsd="http://www.w3.org/2001/XMLSchema" xmlns:xs="http://www.w3.org/2001/XMLSchema" xmlns:p="http://schemas.microsoft.com/office/2006/metadata/properties" xmlns:ns3="e4754e92-03eb-4c08-b74e-b221b3d7940d" xmlns:ns4="6a6c36f0-b97b-40c8-af8f-d9b1071019b9" targetNamespace="http://schemas.microsoft.com/office/2006/metadata/properties" ma:root="true" ma:fieldsID="03bd608ab7b6090c3d840caa2a267523" ns3:_="" ns4:_="">
    <xsd:import namespace="e4754e92-03eb-4c08-b74e-b221b3d7940d"/>
    <xsd:import namespace="6a6c36f0-b97b-40c8-af8f-d9b1071019b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_activity" minOccurs="0"/>
                <xsd:element ref="ns4:SharedWithDetails" minOccurs="0"/>
                <xsd:element ref="ns4:SharingHintHash" minOccurs="0"/>
                <xsd:element ref="ns4:SharedWithUser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54e92-03eb-4c08-b74e-b221b3d794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c36f0-b97b-40c8-af8f-d9b1071019b9" elementFormDefault="qualified">
    <xsd:import namespace="http://schemas.microsoft.com/office/2006/documentManagement/types"/>
    <xsd:import namespace="http://schemas.microsoft.com/office/infopath/2007/PartnerControls"/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AF71FA-6EBD-43F3-84C7-5F4A66B1A9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9A20B1-CF22-482B-B96B-E17D402A1B8C}">
  <ds:schemaRefs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e4754e92-03eb-4c08-b74e-b221b3d7940d"/>
    <ds:schemaRef ds:uri="http://www.w3.org/XML/1998/namespace"/>
    <ds:schemaRef ds:uri="http://schemas.microsoft.com/office/infopath/2007/PartnerControls"/>
    <ds:schemaRef ds:uri="6a6c36f0-b97b-40c8-af8f-d9b1071019b9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EEBB98B-B9CB-4139-A120-32F65C88C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54e92-03eb-4c08-b74e-b221b3d7940d"/>
    <ds:schemaRef ds:uri="6a6c36f0-b97b-40c8-af8f-d9b107101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Espel</dc:creator>
  <cp:keywords/>
  <dc:description/>
  <cp:lastModifiedBy>Stephen Espel</cp:lastModifiedBy>
  <cp:revision>1</cp:revision>
  <dcterms:created xsi:type="dcterms:W3CDTF">2025-09-10T19:01:00Z</dcterms:created>
  <dcterms:modified xsi:type="dcterms:W3CDTF">2025-09-10T19:34:00Z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0x010100E0CB17820B298C42B038B26A1DA1A9EC</vt:lpwstr>
  </property>
</Properties>
</file>