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4E21" w14:textId="17D5CABF" w:rsidR="002C6AF2" w:rsidRDefault="000571EE">
      <w:pPr>
        <w:rPr>
          <w:rFonts w:eastAsia="新細明體"/>
          <w:lang w:eastAsia="zh-TW"/>
        </w:rPr>
      </w:pPr>
      <w:r>
        <w:t>Subject: Comments on SB 253 and SB 261 Implementation Timeline and Reporting Requirements</w:t>
      </w:r>
      <w:r>
        <w:br/>
      </w:r>
      <w:r>
        <w:br/>
        <w:t>Dear CARB Climate Disclosure Team,</w:t>
      </w:r>
      <w:r>
        <w:br/>
      </w:r>
      <w:r>
        <w:br/>
      </w:r>
    </w:p>
    <w:p w14:paraId="5F73607F" w14:textId="2244DDA1" w:rsidR="00D21954" w:rsidRDefault="002C6AF2">
      <w:r w:rsidRPr="002C6AF2">
        <w:t>Thank you for the opportunity to provide feedback on the proposed implementation of SB 253 and SB 261.</w:t>
      </w:r>
      <w:r w:rsidRPr="004E6D1E">
        <w:t xml:space="preserve"> </w:t>
      </w:r>
      <w:r w:rsidR="004E6D1E" w:rsidRPr="004E6D1E">
        <w:t>We appreciate CARB’s efforts in developing a robust climate disclosure framework.</w:t>
      </w:r>
      <w:r w:rsidRPr="002C6AF2">
        <w:t xml:space="preserve"> NETGEAR is committed to climate-related disclosure and GHG reporting. Our comments are as follows:</w:t>
      </w:r>
      <w:r w:rsidR="000571EE">
        <w:br/>
      </w:r>
      <w:r w:rsidR="000571EE">
        <w:br/>
      </w:r>
      <w:r w:rsidR="000571EE" w:rsidRPr="009A6B96">
        <w:rPr>
          <w:b/>
          <w:bCs/>
        </w:rPr>
        <w:t>SB 253 – Reporting Deadline and Limited Assurance</w:t>
      </w:r>
      <w:r w:rsidR="000571EE" w:rsidRPr="009A6B96">
        <w:rPr>
          <w:b/>
          <w:bCs/>
        </w:rPr>
        <w:br/>
      </w:r>
      <w:r w:rsidR="000571EE">
        <w:br/>
        <w:t xml:space="preserve">We </w:t>
      </w:r>
      <w:r w:rsidR="000571EE">
        <w:t>recommend that CARB adjust the proposed timeline for Scope 1 and Scope 2 emissions reporting to ensure feasibility and data quality. Specifically:</w:t>
      </w:r>
      <w:r w:rsidR="000571EE">
        <w:br/>
      </w:r>
      <w:r w:rsidR="000571EE">
        <w:br/>
        <w:t>- Extend the reporting deadline to at least 6–8 months after the release of final reporting templates, to allow sufficient time for companies to interpret guidance, prepare inventories, and align internal systems.</w:t>
      </w:r>
      <w:r w:rsidR="000571EE">
        <w:br/>
        <w:t>- Obtaining limited third-party assurance typically requires 1 to 6 months, depending on the complexity of the emissions inventory and the readiness o</w:t>
      </w:r>
      <w:r w:rsidR="000571EE">
        <w:t>f internal data systems.</w:t>
      </w:r>
      <w:r w:rsidR="000571EE">
        <w:br/>
        <w:t>- Therefore, we recommend allowing voluntary assurance in the first year, with a transition to mandatory limited assurance beginning in 2027.</w:t>
      </w:r>
      <w:r w:rsidR="000571EE">
        <w:br/>
      </w:r>
      <w:r w:rsidR="000571EE">
        <w:br/>
        <w:t>This phased approach would support more accurate and meaningful disclosures while ensuring that companies can realistically meet compliance requirements.</w:t>
      </w:r>
      <w:r w:rsidR="000571EE">
        <w:br/>
      </w:r>
      <w:r w:rsidR="000571EE">
        <w:br/>
      </w:r>
      <w:r w:rsidR="000571EE" w:rsidRPr="009A6B96">
        <w:rPr>
          <w:b/>
          <w:bCs/>
        </w:rPr>
        <w:t>SB 261 – Climate Risk Disclosure Format</w:t>
      </w:r>
      <w:r w:rsidR="000571EE" w:rsidRPr="009A6B96">
        <w:rPr>
          <w:b/>
          <w:bCs/>
        </w:rPr>
        <w:br/>
      </w:r>
      <w:r w:rsidR="000571EE">
        <w:br/>
        <w:t>For SB 261, we recommend that CARB accept climate risk disclosures that are already included in a company’s publicly available ESG report, as long as:</w:t>
      </w:r>
      <w:r w:rsidR="000571EE">
        <w:br/>
      </w:r>
      <w:r w:rsidR="000571EE">
        <w:br/>
        <w:t>- The report is accessible via a public link on the covered entity’s website</w:t>
      </w:r>
      <w:r w:rsidR="000571EE">
        <w:br/>
        <w:t>- The disclosures align with one or more voluntary reporting frameworks permitted under SB 261 (e.g., TCFD)</w:t>
      </w:r>
      <w:r w:rsidR="000571EE">
        <w:br/>
      </w:r>
      <w:r w:rsidR="000571EE">
        <w:br/>
        <w:t>This approach reflects current industry practice, reduces duplication, and supports consistency with global standards. Most companies already disclose climate risk informati</w:t>
      </w:r>
      <w:r w:rsidR="000571EE">
        <w:t>on in their ESG reports, and requiring a separate, standalone climate risk report would create unnecessary administrative burden without improving transparency.</w:t>
      </w:r>
      <w:r w:rsidR="000571EE">
        <w:br/>
      </w:r>
      <w:r w:rsidR="000571EE">
        <w:br/>
        <w:t>We appreciate CARB’s consideration of these recommendations and look forward to continued collaboration in building a practical and impactful climate disclosure framework.</w:t>
      </w:r>
      <w:r w:rsidR="000571EE">
        <w:br/>
      </w:r>
      <w:r w:rsidR="000571EE">
        <w:lastRenderedPageBreak/>
        <w:br/>
        <w:t xml:space="preserve">Sincerely,  </w:t>
      </w:r>
      <w:r w:rsidR="000571EE">
        <w:br/>
        <w:t xml:space="preserve">Natalie Feng  </w:t>
      </w:r>
      <w:r w:rsidR="000571EE">
        <w:br/>
        <w:t xml:space="preserve">Staff Engineer, ESG Project  </w:t>
      </w:r>
      <w:r w:rsidR="000571EE">
        <w:br/>
        <w:t xml:space="preserve">NETGEAR  </w:t>
      </w:r>
      <w:r w:rsidR="000571EE">
        <w:br/>
      </w:r>
    </w:p>
    <w:sectPr w:rsidR="00D21954"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B88E1" w14:textId="77777777" w:rsidR="00497459" w:rsidRDefault="00497459" w:rsidP="00497459">
      <w:pPr>
        <w:spacing w:after="0" w:line="240" w:lineRule="auto"/>
      </w:pPr>
      <w:r>
        <w:separator/>
      </w:r>
    </w:p>
  </w:endnote>
  <w:endnote w:type="continuationSeparator" w:id="0">
    <w:p w14:paraId="6927BFE0" w14:textId="77777777" w:rsidR="00497459" w:rsidRDefault="00497459" w:rsidP="00497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A37C" w14:textId="77777777" w:rsidR="00497459" w:rsidRDefault="00497459" w:rsidP="00497459">
      <w:pPr>
        <w:spacing w:after="0" w:line="240" w:lineRule="auto"/>
      </w:pPr>
      <w:r>
        <w:separator/>
      </w:r>
    </w:p>
  </w:footnote>
  <w:footnote w:type="continuationSeparator" w:id="0">
    <w:p w14:paraId="41305567" w14:textId="77777777" w:rsidR="00497459" w:rsidRDefault="00497459" w:rsidP="004974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4710384">
    <w:abstractNumId w:val="8"/>
  </w:num>
  <w:num w:numId="2" w16cid:durableId="1864202788">
    <w:abstractNumId w:val="6"/>
  </w:num>
  <w:num w:numId="3" w16cid:durableId="266159649">
    <w:abstractNumId w:val="5"/>
  </w:num>
  <w:num w:numId="4" w16cid:durableId="1882982645">
    <w:abstractNumId w:val="4"/>
  </w:num>
  <w:num w:numId="5" w16cid:durableId="2078824655">
    <w:abstractNumId w:val="7"/>
  </w:num>
  <w:num w:numId="6" w16cid:durableId="2000235159">
    <w:abstractNumId w:val="3"/>
  </w:num>
  <w:num w:numId="7" w16cid:durableId="1912696610">
    <w:abstractNumId w:val="2"/>
  </w:num>
  <w:num w:numId="8" w16cid:durableId="54550036">
    <w:abstractNumId w:val="1"/>
  </w:num>
  <w:num w:numId="9" w16cid:durableId="1477796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1EE"/>
    <w:rsid w:val="0006063C"/>
    <w:rsid w:val="0015074B"/>
    <w:rsid w:val="0029639D"/>
    <w:rsid w:val="002C6AF2"/>
    <w:rsid w:val="00326F90"/>
    <w:rsid w:val="00497459"/>
    <w:rsid w:val="004E6D1E"/>
    <w:rsid w:val="007549E2"/>
    <w:rsid w:val="009578F6"/>
    <w:rsid w:val="009A6B96"/>
    <w:rsid w:val="00A702BD"/>
    <w:rsid w:val="00AA1D8D"/>
    <w:rsid w:val="00B47730"/>
    <w:rsid w:val="00CB0664"/>
    <w:rsid w:val="00D21954"/>
    <w:rsid w:val="00D46EF6"/>
    <w:rsid w:val="00E16B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91B35110-AD39-476D-9D2B-A9D897E4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Natalie Feng</cp:lastModifiedBy>
  <cp:revision>2</cp:revision>
  <dcterms:created xsi:type="dcterms:W3CDTF">2025-09-02T06:54:00Z</dcterms:created>
  <dcterms:modified xsi:type="dcterms:W3CDTF">2025-09-02T06:54:00Z</dcterms:modified>
  <cp:category/>
</cp:coreProperties>
</file>